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82"/>
        <w:ind w:firstLine="300"/>
        <w:spacing w:line="360" w:lineRule="auto"/>
        <w:rPr>
          <w:sz w:val="60"/>
          <w:szCs w:val="60"/>
          <w:highlight w:val="none"/>
        </w:rPr>
      </w:pPr>
      <w:r>
        <w:rPr>
          <w:sz w:val="60"/>
          <w:szCs w:val="60"/>
          <w:highlight w:val="none"/>
        </w:rPr>
      </w:r>
      <w:r/>
    </w:p>
    <w:p>
      <w:pPr>
        <w:pStyle w:val="982"/>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982"/>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982"/>
        <w:jc w:val="center"/>
        <w:spacing w:line="360" w:lineRule="auto"/>
        <w:rPr>
          <w:rFonts w:ascii="宋体" w:hAnsi="宋体"/>
          <w:b/>
          <w:bCs/>
          <w:sz w:val="60"/>
          <w:szCs w:val="60"/>
          <w:highlight w:val="none"/>
        </w:rPr>
      </w:pPr>
      <w:r>
        <w:rPr>
          <w:rFonts w:ascii="宋体" w:hAnsi="宋体"/>
          <w:b/>
          <w:bCs/>
          <w:sz w:val="60"/>
          <w:szCs w:val="60"/>
          <w:highlight w:val="none"/>
        </w:rPr>
      </w:r>
      <w:r/>
    </w:p>
    <w:p>
      <w:pPr>
        <w:pStyle w:val="982"/>
        <w:jc w:val="center"/>
        <w:spacing w:line="360" w:lineRule="auto"/>
        <w:rPr>
          <w:rFonts w:ascii="宋体" w:hAnsi="宋体"/>
          <w:b/>
          <w:bCs/>
          <w:sz w:val="60"/>
          <w:szCs w:val="60"/>
          <w:highlight w:val="none"/>
        </w:rPr>
      </w:pPr>
      <w:r>
        <w:rPr>
          <w:rFonts w:ascii="宋体" w:hAnsi="宋体"/>
          <w:b/>
          <w:bCs/>
          <w:sz w:val="60"/>
          <w:szCs w:val="60"/>
          <w:highlight w:val="none"/>
        </w:rPr>
      </w:r>
      <w:r/>
    </w:p>
    <w:p>
      <w:pPr>
        <w:pStyle w:val="982"/>
        <w:ind w:left="2832" w:hanging="1900"/>
        <w:jc w:val="left"/>
        <w:spacing w:line="360" w:lineRule="auto"/>
        <w:tabs>
          <w:tab w:val="left" w:pos="5609" w:leader="none"/>
        </w:tabs>
        <w:rPr>
          <w:rFonts w:hint="eastAsia" w:eastAsia="宋体"/>
          <w:bCs/>
          <w:sz w:val="36"/>
          <w:szCs w:val="36"/>
          <w:highlight w:val="none"/>
          <w:lang w:eastAsia="zh-CN"/>
        </w:rPr>
      </w:pPr>
      <w:r>
        <w:rPr>
          <w:bCs/>
          <w:sz w:val="36"/>
          <w:szCs w:val="36"/>
          <w:highlight w:val="none"/>
        </w:rPr>
        <w:t xml:space="preserve">项目名称：</w:t>
      </w:r>
      <w:r>
        <w:rPr>
          <w:rFonts w:hint="eastAsia"/>
          <w:bCs/>
          <w:spacing w:val="-10"/>
          <w:sz w:val="36"/>
          <w:szCs w:val="36"/>
          <w:highlight w:val="none"/>
          <w:lang w:eastAsia="zh-CN"/>
        </w:rPr>
        <w:t xml:space="preserve">2026-2027年度武进区农村公路安保设施养护及应急保障项目</w:t>
      </w:r>
      <w:r>
        <w:rPr>
          <w:rFonts w:hint="eastAsia" w:eastAsia="宋体"/>
          <w:bCs/>
          <w:sz w:val="36"/>
          <w:szCs w:val="36"/>
          <w:highlight w:val="none"/>
          <w:lang w:eastAsia="zh-CN"/>
        </w:rPr>
      </w:r>
      <w:r/>
    </w:p>
    <w:p>
      <w:pPr>
        <w:pStyle w:val="982"/>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sz w:val="36"/>
          <w:szCs w:val="36"/>
          <w:highlight w:val="none"/>
        </w:rPr>
        <w:t xml:space="preserve">项目编号/包号</w:t>
      </w:r>
      <w:r>
        <w:rPr>
          <w:bCs/>
          <w:color w:val="000000"/>
          <w:sz w:val="36"/>
          <w:szCs w:val="36"/>
          <w:highlight w:val="none"/>
        </w:rPr>
        <w:t xml:space="preserve">：</w:t>
      </w:r>
      <w:r>
        <w:rPr>
          <w:rFonts w:hint="eastAsia"/>
          <w:bCs/>
          <w:color w:val="000000"/>
          <w:sz w:val="36"/>
          <w:szCs w:val="36"/>
          <w:highlight w:val="none"/>
          <w:shd w:val="clear" w:color="auto" w:fill="auto"/>
          <w:lang w:eastAsia="zh-CN"/>
        </w:rPr>
        <w:t xml:space="preserve">JSZC-320412-CZCR-C2025-0015</w:t>
      </w:r>
      <w:r>
        <w:rPr>
          <w:rFonts w:hint="eastAsia" w:eastAsia="宋体"/>
          <w:bCs/>
          <w:color w:val="000000"/>
          <w:sz w:val="36"/>
          <w:szCs w:val="36"/>
          <w:highlight w:val="none"/>
          <w:lang w:eastAsia="zh-CN"/>
        </w:rPr>
      </w:r>
      <w:r/>
    </w:p>
    <w:p>
      <w:pPr>
        <w:pStyle w:val="982"/>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常州市武进区公路事业发展中心</w:t>
      </w:r>
      <w:r>
        <w:rPr>
          <w:bCs/>
          <w:sz w:val="36"/>
          <w:szCs w:val="36"/>
          <w:highlight w:val="none"/>
        </w:rPr>
      </w:r>
      <w:r/>
    </w:p>
    <w:p>
      <w:pPr>
        <w:pStyle w:val="982"/>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常州市长润工程咨询有限公司</w:t>
      </w:r>
      <w:r>
        <w:rPr>
          <w:bCs/>
          <w:sz w:val="36"/>
          <w:szCs w:val="36"/>
          <w:highlight w:val="none"/>
        </w:rPr>
      </w:r>
      <w:r/>
    </w:p>
    <w:p>
      <w:pPr>
        <w:pStyle w:val="982"/>
        <w:jc w:val="left"/>
        <w:widowControl/>
        <w:rPr>
          <w:sz w:val="24"/>
          <w:highlight w:val="none"/>
        </w:rPr>
      </w:pPr>
      <w:r>
        <w:rPr>
          <w:b/>
          <w:bCs/>
          <w:sz w:val="44"/>
          <w:highlight w:val="none"/>
        </w:rPr>
        <w:br w:type="page" w:clear="all"/>
      </w:r>
      <w:r>
        <w:rPr>
          <w:sz w:val="24"/>
          <w:highlight w:val="none"/>
        </w:rPr>
      </w:r>
      <w:r/>
    </w:p>
    <w:p>
      <w:pPr>
        <w:pStyle w:val="982"/>
        <w:jc w:val="left"/>
        <w:widowControl/>
        <w:rPr>
          <w:sz w:val="24"/>
          <w:highlight w:val="none"/>
        </w:rPr>
      </w:pPr>
      <w:r>
        <w:rPr>
          <w:sz w:val="24"/>
          <w:highlight w:val="none"/>
        </w:rPr>
      </w:r>
      <w:r/>
    </w:p>
    <w:p>
      <w:pPr>
        <w:pStyle w:val="116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82"/>
        <w:jc w:val="center"/>
        <w:spacing w:line="360" w:lineRule="auto"/>
        <w:rPr>
          <w:b/>
          <w:sz w:val="36"/>
          <w:szCs w:val="36"/>
          <w:highlight w:val="none"/>
        </w:rPr>
        <w:outlineLvl w:val="0"/>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Style w:val="1057"/>
          <w:color w:val="000000"/>
          <w:highlight w:val="none"/>
        </w:rPr>
        <w:fldChar w:fldCharType="begin"/>
      </w:r>
      <w:r>
        <w:rPr>
          <w:rStyle w:val="1057"/>
          <w:color w:val="000000"/>
          <w:highlight w:val="none"/>
        </w:rPr>
        <w:instrText xml:space="preserve"> </w:instrText>
      </w:r>
      <w:r>
        <w:rPr>
          <w:highlight w:val="none"/>
        </w:rPr>
        <w:instrText xml:space="preserve">HYPERLINK \l "_Toc104818925"</w:instrText>
      </w:r>
      <w:r>
        <w:rPr>
          <w:rStyle w:val="1057"/>
          <w:color w:val="000000"/>
          <w:highlight w:val="none"/>
        </w:rPr>
        <w:instrText xml:space="preserve"> </w:instrText>
      </w:r>
      <w:r>
        <w:rPr>
          <w:rStyle w:val="1057"/>
          <w:color w:val="000000"/>
          <w:highlight w:val="none"/>
        </w:rPr>
        <w:fldChar w:fldCharType="separate"/>
      </w:r>
      <w:r>
        <w:rPr>
          <w:rStyle w:val="1057"/>
          <w:rFonts w:hint="eastAsia"/>
          <w:color w:val="000000"/>
          <w:highlight w:val="none"/>
        </w:rPr>
        <w:t xml:space="preserve">第一章</w:t>
      </w:r>
      <w:r>
        <w:rPr>
          <w:rStyle w:val="1057"/>
          <w:color w:val="000000"/>
          <w:highlight w:val="none"/>
        </w:rPr>
        <w:t xml:space="preserve">   </w:t>
      </w:r>
      <w:r>
        <w:rPr>
          <w:rStyle w:val="1057"/>
          <w:rFonts w:hint="eastAsia"/>
          <w:color w:val="000000"/>
          <w:highlight w:val="none"/>
        </w:rPr>
        <w:t xml:space="preserve">采购邀请</w:t>
      </w:r>
      <w:r>
        <w:rPr>
          <w:highlight w:val="none"/>
        </w:rPr>
        <w:tab/>
      </w:r>
      <w:r>
        <w:rPr>
          <w:highlight w:val="none"/>
        </w:rPr>
        <w:fldChar w:fldCharType="begin"/>
      </w:r>
      <w:r>
        <w:rPr>
          <w:highlight w:val="none"/>
        </w:rPr>
        <w:instrText xml:space="preserve"> PAGEREF _Toc104818925 \h </w:instrText>
      </w:r>
      <w:r>
        <w:rPr>
          <w:highlight w:val="none"/>
        </w:rPr>
        <w:fldChar w:fldCharType="separate"/>
      </w:r>
      <w:r>
        <w:rPr>
          <w:highlight w:val="none"/>
        </w:rPr>
        <w:t xml:space="preserve">1</w:t>
      </w:r>
      <w:r>
        <w:rPr>
          <w:highlight w:val="none"/>
        </w:rPr>
        <w:fldChar w:fldCharType="end"/>
      </w:r>
      <w:r>
        <w:rPr>
          <w:rStyle w:val="1057"/>
          <w:color w:val="000000"/>
          <w:highlight w:val="none"/>
        </w:rPr>
        <w:fldChar w:fldCharType="end"/>
      </w:r>
      <w:r>
        <w:rPr>
          <w:rFonts w:ascii="Calibri" w:hAnsi="Calibri"/>
          <w:b w:val="0"/>
          <w:sz w:val="21"/>
          <w:szCs w:val="22"/>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Style w:val="1057"/>
          <w:color w:val="000000"/>
          <w:highlight w:val="none"/>
        </w:rPr>
        <w:fldChar w:fldCharType="begin"/>
      </w:r>
      <w:r>
        <w:rPr>
          <w:rStyle w:val="1057"/>
          <w:color w:val="000000"/>
          <w:highlight w:val="none"/>
        </w:rPr>
        <w:instrText xml:space="preserve"> </w:instrText>
      </w:r>
      <w:r>
        <w:rPr>
          <w:highlight w:val="none"/>
        </w:rPr>
        <w:instrText xml:space="preserve">HYPERLINK \l "_Toc104818926"</w:instrText>
      </w:r>
      <w:r>
        <w:rPr>
          <w:rStyle w:val="1057"/>
          <w:color w:val="000000"/>
          <w:highlight w:val="none"/>
        </w:rPr>
        <w:instrText xml:space="preserve"> </w:instrText>
      </w:r>
      <w:r>
        <w:rPr>
          <w:rStyle w:val="1057"/>
          <w:color w:val="000000"/>
          <w:highlight w:val="none"/>
        </w:rPr>
        <w:fldChar w:fldCharType="separate"/>
      </w:r>
      <w:r>
        <w:rPr>
          <w:rStyle w:val="1057"/>
          <w:rFonts w:hint="eastAsia"/>
          <w:color w:val="000000"/>
          <w:highlight w:val="none"/>
        </w:rPr>
        <w:t xml:space="preserve">第二章</w:t>
      </w:r>
      <w:r>
        <w:rPr>
          <w:rStyle w:val="1057"/>
          <w:color w:val="000000"/>
          <w:highlight w:val="none"/>
        </w:rPr>
        <w:t xml:space="preserve">   </w:t>
      </w:r>
      <w:r>
        <w:rPr>
          <w:rStyle w:val="1057"/>
          <w:rFonts w:hint="eastAsia"/>
          <w:color w:val="000000"/>
          <w:highlight w:val="none"/>
        </w:rPr>
        <w:t xml:space="preserve">供应商须知</w:t>
      </w:r>
      <w:r>
        <w:rPr>
          <w:highlight w:val="none"/>
        </w:rPr>
        <w:tab/>
      </w:r>
      <w:r>
        <w:rPr>
          <w:highlight w:val="none"/>
        </w:rPr>
        <w:fldChar w:fldCharType="begin"/>
      </w:r>
      <w:r>
        <w:rPr>
          <w:highlight w:val="none"/>
        </w:rPr>
        <w:instrText xml:space="preserve"> PAGEREF _Toc104818926 \h </w:instrText>
      </w:r>
      <w:r>
        <w:rPr>
          <w:highlight w:val="none"/>
        </w:rPr>
        <w:fldChar w:fldCharType="separate"/>
      </w:r>
      <w:r>
        <w:rPr>
          <w:highlight w:val="none"/>
        </w:rPr>
        <w:t xml:space="preserve">6</w:t>
      </w:r>
      <w:r>
        <w:rPr>
          <w:highlight w:val="none"/>
        </w:rPr>
        <w:fldChar w:fldCharType="end"/>
      </w:r>
      <w:r>
        <w:rPr>
          <w:rStyle w:val="1057"/>
          <w:color w:val="000000"/>
          <w:highlight w:val="none"/>
        </w:rPr>
        <w:fldChar w:fldCharType="end"/>
      </w:r>
      <w:r>
        <w:rPr>
          <w:rFonts w:ascii="Calibri" w:hAnsi="Calibri"/>
          <w:b w:val="0"/>
          <w:sz w:val="21"/>
          <w:szCs w:val="22"/>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Style w:val="1057"/>
          <w:color w:val="000000"/>
          <w:highlight w:val="none"/>
        </w:rPr>
        <w:fldChar w:fldCharType="begin"/>
      </w:r>
      <w:r>
        <w:rPr>
          <w:rStyle w:val="1057"/>
          <w:color w:val="000000"/>
          <w:highlight w:val="none"/>
        </w:rPr>
        <w:instrText xml:space="preserve"> </w:instrText>
      </w:r>
      <w:r>
        <w:rPr>
          <w:highlight w:val="none"/>
        </w:rPr>
        <w:instrText xml:space="preserve">HYPERLINK \l "_Toc104818927"</w:instrText>
      </w:r>
      <w:r>
        <w:rPr>
          <w:rStyle w:val="1057"/>
          <w:color w:val="000000"/>
          <w:highlight w:val="none"/>
        </w:rPr>
        <w:instrText xml:space="preserve"> </w:instrText>
      </w:r>
      <w:r>
        <w:rPr>
          <w:rStyle w:val="1057"/>
          <w:color w:val="000000"/>
          <w:highlight w:val="none"/>
        </w:rPr>
        <w:fldChar w:fldCharType="separate"/>
      </w:r>
      <w:r>
        <w:rPr>
          <w:rStyle w:val="1057"/>
          <w:rFonts w:hint="eastAsia"/>
          <w:color w:val="000000"/>
          <w:highlight w:val="none"/>
        </w:rPr>
        <w:t xml:space="preserve">第三章</w:t>
      </w:r>
      <w:r>
        <w:rPr>
          <w:rStyle w:val="1057"/>
          <w:color w:val="000000"/>
          <w:highlight w:val="none"/>
        </w:rPr>
        <w:t xml:space="preserve">   </w:t>
      </w:r>
      <w:r>
        <w:rPr>
          <w:rStyle w:val="1057"/>
          <w:rFonts w:hint="eastAsia"/>
          <w:color w:val="000000"/>
          <w:highlight w:val="none"/>
        </w:rPr>
        <w:t xml:space="preserve">评审程序、评审方法和评审标准</w:t>
      </w:r>
      <w:r>
        <w:rPr>
          <w:highlight w:val="none"/>
        </w:rPr>
        <w:tab/>
      </w:r>
      <w:r>
        <w:rPr>
          <w:highlight w:val="none"/>
        </w:rPr>
        <w:fldChar w:fldCharType="begin"/>
      </w:r>
      <w:r>
        <w:rPr>
          <w:highlight w:val="none"/>
        </w:rPr>
        <w:instrText xml:space="preserve"> PAGEREF _Toc104818927 \h </w:instrText>
      </w:r>
      <w:r>
        <w:rPr>
          <w:highlight w:val="none"/>
        </w:rPr>
        <w:fldChar w:fldCharType="separate"/>
      </w:r>
      <w:r>
        <w:rPr>
          <w:highlight w:val="none"/>
        </w:rPr>
        <w:t xml:space="preserve">20</w:t>
      </w:r>
      <w:r>
        <w:rPr>
          <w:highlight w:val="none"/>
        </w:rPr>
        <w:fldChar w:fldCharType="end"/>
      </w:r>
      <w:r>
        <w:rPr>
          <w:rStyle w:val="1057"/>
          <w:color w:val="000000"/>
          <w:highlight w:val="none"/>
        </w:rPr>
        <w:fldChar w:fldCharType="end"/>
      </w:r>
      <w:r>
        <w:rPr>
          <w:rFonts w:ascii="Calibri" w:hAnsi="Calibri"/>
          <w:b w:val="0"/>
          <w:sz w:val="21"/>
          <w:szCs w:val="22"/>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Style w:val="1057"/>
          <w:color w:val="000000"/>
          <w:highlight w:val="none"/>
        </w:rPr>
        <w:fldChar w:fldCharType="begin"/>
      </w:r>
      <w:r>
        <w:rPr>
          <w:rStyle w:val="1057"/>
          <w:color w:val="000000"/>
          <w:highlight w:val="none"/>
        </w:rPr>
        <w:instrText xml:space="preserve"> </w:instrText>
      </w:r>
      <w:r>
        <w:rPr>
          <w:highlight w:val="none"/>
        </w:rPr>
        <w:instrText xml:space="preserve">HYPERLINK \l "_Toc104818928"</w:instrText>
      </w:r>
      <w:r>
        <w:rPr>
          <w:rStyle w:val="1057"/>
          <w:color w:val="000000"/>
          <w:highlight w:val="none"/>
        </w:rPr>
        <w:instrText xml:space="preserve"> </w:instrText>
      </w:r>
      <w:r>
        <w:rPr>
          <w:rStyle w:val="1057"/>
          <w:color w:val="000000"/>
          <w:highlight w:val="none"/>
        </w:rPr>
        <w:fldChar w:fldCharType="separate"/>
      </w:r>
      <w:r>
        <w:rPr>
          <w:rStyle w:val="1057"/>
          <w:rFonts w:hint="eastAsia"/>
          <w:color w:val="000000"/>
          <w:highlight w:val="none"/>
        </w:rPr>
        <w:t xml:space="preserve">第四章</w:t>
      </w:r>
      <w:r>
        <w:rPr>
          <w:rStyle w:val="1057"/>
          <w:color w:val="000000"/>
          <w:highlight w:val="none"/>
        </w:rPr>
        <w:t xml:space="preserve">   </w:t>
      </w:r>
      <w:r>
        <w:rPr>
          <w:rStyle w:val="1057"/>
          <w:rFonts w:hint="eastAsia"/>
          <w:color w:val="000000"/>
          <w:highlight w:val="none"/>
        </w:rPr>
        <w:t xml:space="preserve">采购需求</w:t>
      </w:r>
      <w:r>
        <w:rPr>
          <w:highlight w:val="none"/>
        </w:rPr>
        <w:tab/>
      </w:r>
      <w:r>
        <w:rPr>
          <w:highlight w:val="none"/>
        </w:rPr>
        <w:fldChar w:fldCharType="begin"/>
      </w:r>
      <w:r>
        <w:rPr>
          <w:highlight w:val="none"/>
        </w:rPr>
        <w:instrText xml:space="preserve"> PAGEREF _Toc104818928 \h </w:instrText>
      </w:r>
      <w:r>
        <w:rPr>
          <w:highlight w:val="none"/>
        </w:rPr>
        <w:fldChar w:fldCharType="separate"/>
      </w:r>
      <w:r>
        <w:rPr>
          <w:highlight w:val="none"/>
        </w:rPr>
        <w:t xml:space="preserve">30</w:t>
      </w:r>
      <w:r>
        <w:rPr>
          <w:highlight w:val="none"/>
        </w:rPr>
        <w:fldChar w:fldCharType="end"/>
      </w:r>
      <w:r>
        <w:rPr>
          <w:rStyle w:val="1057"/>
          <w:color w:val="000000"/>
          <w:highlight w:val="none"/>
        </w:rPr>
        <w:fldChar w:fldCharType="end"/>
      </w:r>
      <w:r>
        <w:rPr>
          <w:rFonts w:ascii="Calibri" w:hAnsi="Calibri"/>
          <w:b w:val="0"/>
          <w:sz w:val="21"/>
          <w:szCs w:val="22"/>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Style w:val="1057"/>
          <w:color w:val="000000"/>
          <w:highlight w:val="none"/>
        </w:rPr>
        <w:fldChar w:fldCharType="begin"/>
      </w:r>
      <w:r>
        <w:rPr>
          <w:rStyle w:val="1057"/>
          <w:color w:val="000000"/>
          <w:highlight w:val="none"/>
        </w:rPr>
        <w:instrText xml:space="preserve"> </w:instrText>
      </w:r>
      <w:r>
        <w:rPr>
          <w:highlight w:val="none"/>
        </w:rPr>
        <w:instrText xml:space="preserve">HYPERLINK \l "_Toc104818929"</w:instrText>
      </w:r>
      <w:r>
        <w:rPr>
          <w:rStyle w:val="1057"/>
          <w:color w:val="000000"/>
          <w:highlight w:val="none"/>
        </w:rPr>
        <w:instrText xml:space="preserve"> </w:instrText>
      </w:r>
      <w:r>
        <w:rPr>
          <w:rStyle w:val="1057"/>
          <w:color w:val="000000"/>
          <w:highlight w:val="none"/>
        </w:rPr>
        <w:fldChar w:fldCharType="separate"/>
      </w:r>
      <w:r>
        <w:rPr>
          <w:rStyle w:val="1057"/>
          <w:rFonts w:hint="eastAsia"/>
          <w:color w:val="000000"/>
          <w:highlight w:val="none"/>
        </w:rPr>
        <w:t xml:space="preserve">第五章</w:t>
      </w:r>
      <w:r>
        <w:rPr>
          <w:rStyle w:val="1057"/>
          <w:color w:val="000000"/>
          <w:highlight w:val="none"/>
        </w:rPr>
        <w:t xml:space="preserve">   </w:t>
      </w:r>
      <w:r>
        <w:rPr>
          <w:rStyle w:val="1057"/>
          <w:rFonts w:hint="eastAsia"/>
          <w:color w:val="000000"/>
          <w:highlight w:val="none"/>
        </w:rPr>
        <w:t xml:space="preserve">合同草案条款</w:t>
      </w:r>
      <w:r>
        <w:rPr>
          <w:highlight w:val="none"/>
        </w:rPr>
        <w:tab/>
      </w:r>
      <w:r>
        <w:rPr>
          <w:highlight w:val="none"/>
        </w:rPr>
        <w:fldChar w:fldCharType="begin"/>
      </w:r>
      <w:r>
        <w:rPr>
          <w:highlight w:val="none"/>
        </w:rPr>
        <w:instrText xml:space="preserve"> PAGEREF _Toc104818929 \h </w:instrText>
      </w:r>
      <w:r>
        <w:rPr>
          <w:highlight w:val="none"/>
        </w:rPr>
        <w:fldChar w:fldCharType="separate"/>
      </w:r>
      <w:r>
        <w:rPr>
          <w:highlight w:val="none"/>
        </w:rPr>
        <w:t xml:space="preserve">32</w:t>
      </w:r>
      <w:r>
        <w:rPr>
          <w:highlight w:val="none"/>
        </w:rPr>
        <w:fldChar w:fldCharType="end"/>
      </w:r>
      <w:r>
        <w:rPr>
          <w:rStyle w:val="1057"/>
          <w:color w:val="000000"/>
          <w:highlight w:val="none"/>
        </w:rPr>
        <w:fldChar w:fldCharType="end"/>
      </w:r>
      <w:r>
        <w:rPr>
          <w:rFonts w:ascii="Calibri" w:hAnsi="Calibri"/>
          <w:b w:val="0"/>
          <w:sz w:val="21"/>
          <w:szCs w:val="22"/>
          <w:highlight w:val="none"/>
        </w:rPr>
      </w:r>
      <w:r/>
    </w:p>
    <w:p>
      <w:pPr>
        <w:pStyle w:val="1034"/>
        <w:spacing w:line="480" w:lineRule="auto"/>
        <w:tabs>
          <w:tab w:val="left" w:pos="1050" w:leader="none"/>
          <w:tab w:val="right" w:pos="8937" w:leader="dot"/>
        </w:tabs>
        <w:rPr>
          <w:rFonts w:ascii="Calibri" w:hAnsi="Calibri"/>
          <w:b w:val="0"/>
          <w:sz w:val="21"/>
          <w:szCs w:val="22"/>
          <w:highlight w:val="none"/>
        </w:rPr>
      </w:pPr>
      <w:r>
        <w:rPr>
          <w:rStyle w:val="1057"/>
          <w:color w:val="000000"/>
          <w:highlight w:val="none"/>
        </w:rPr>
        <w:fldChar w:fldCharType="begin"/>
      </w:r>
      <w:r>
        <w:rPr>
          <w:rStyle w:val="1057"/>
          <w:color w:val="000000"/>
          <w:highlight w:val="none"/>
        </w:rPr>
        <w:instrText xml:space="preserve"> </w:instrText>
      </w:r>
      <w:r>
        <w:rPr>
          <w:highlight w:val="none"/>
        </w:rPr>
        <w:instrText xml:space="preserve">HYPERLINK \l "_Toc104818930"</w:instrText>
      </w:r>
      <w:r>
        <w:rPr>
          <w:rStyle w:val="1057"/>
          <w:color w:val="000000"/>
          <w:highlight w:val="none"/>
        </w:rPr>
        <w:instrText xml:space="preserve"> </w:instrText>
      </w:r>
      <w:r>
        <w:rPr>
          <w:rStyle w:val="1057"/>
          <w:color w:val="000000"/>
          <w:highlight w:val="none"/>
        </w:rPr>
        <w:fldChar w:fldCharType="separate"/>
      </w:r>
      <w:r>
        <w:rPr>
          <w:rStyle w:val="1057"/>
          <w:rFonts w:hint="eastAsia"/>
          <w:color w:val="000000"/>
          <w:highlight w:val="none"/>
        </w:rPr>
        <w:t xml:space="preserve">第六章</w:t>
      </w:r>
      <w:r>
        <w:rPr>
          <w:rStyle w:val="1057"/>
          <w:color w:val="000000"/>
          <w:highlight w:val="none"/>
        </w:rPr>
        <w:t xml:space="preserve">   </w:t>
      </w:r>
      <w:r>
        <w:rPr>
          <w:rStyle w:val="1057"/>
          <w:rFonts w:hint="eastAsia"/>
          <w:color w:val="000000"/>
          <w:highlight w:val="none"/>
        </w:rPr>
        <w:t xml:space="preserve">响应文件格式</w:t>
      </w:r>
      <w:r>
        <w:rPr>
          <w:highlight w:val="none"/>
        </w:rPr>
        <w:tab/>
      </w:r>
      <w:r>
        <w:rPr>
          <w:highlight w:val="none"/>
        </w:rPr>
        <w:fldChar w:fldCharType="begin"/>
      </w:r>
      <w:r>
        <w:rPr>
          <w:highlight w:val="none"/>
        </w:rPr>
        <w:instrText xml:space="preserve"> PAGEREF _Toc104818930 \h </w:instrText>
      </w:r>
      <w:r>
        <w:rPr>
          <w:highlight w:val="none"/>
        </w:rPr>
        <w:fldChar w:fldCharType="separate"/>
      </w:r>
      <w:r>
        <w:rPr>
          <w:highlight w:val="none"/>
        </w:rPr>
        <w:t xml:space="preserve">33</w:t>
      </w:r>
      <w:r>
        <w:rPr>
          <w:highlight w:val="none"/>
        </w:rPr>
        <w:fldChar w:fldCharType="end"/>
      </w:r>
      <w:r>
        <w:rPr>
          <w:rStyle w:val="1057"/>
          <w:color w:val="000000"/>
          <w:highlight w:val="none"/>
        </w:rPr>
        <w:fldChar w:fldCharType="end"/>
      </w:r>
      <w:r>
        <w:rPr>
          <w:rFonts w:ascii="Calibri" w:hAnsi="Calibri"/>
          <w:b w:val="0"/>
          <w:sz w:val="21"/>
          <w:szCs w:val="22"/>
          <w:highlight w:val="none"/>
        </w:rPr>
      </w:r>
      <w:r/>
    </w:p>
    <w:p>
      <w:pPr>
        <w:pStyle w:val="1034"/>
        <w:spacing w:line="48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4"/>
        <w:spacing w:line="360" w:lineRule="auto"/>
        <w:tabs>
          <w:tab w:val="left" w:pos="1050" w:leader="none"/>
          <w:tab w:val="right" w:pos="8937" w:leader="dot"/>
        </w:tabs>
        <w:rPr>
          <w:b w:val="0"/>
          <w:sz w:val="36"/>
          <w:szCs w:val="36"/>
          <w:highlight w:val="none"/>
        </w:rPr>
      </w:pPr>
      <w:r>
        <w:rPr>
          <w:b w:val="0"/>
          <w:sz w:val="36"/>
          <w:szCs w:val="36"/>
          <w:highlight w:val="none"/>
        </w:rPr>
      </w:r>
      <w:r/>
    </w:p>
    <w:p>
      <w:pPr>
        <w:pStyle w:val="982"/>
        <w:jc w:val="center"/>
        <w:spacing w:line="360" w:lineRule="auto"/>
        <w:rPr>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pStyle w:val="982"/>
        <w:jc w:val="center"/>
        <w:spacing w:line="360" w:lineRule="auto"/>
        <w:rPr>
          <w:b/>
          <w:sz w:val="36"/>
          <w:szCs w:val="36"/>
          <w:highlight w:val="none"/>
        </w:rPr>
        <w:outlineLvl w:val="0"/>
      </w:pPr>
      <w:r/>
      <w:bookmarkStart w:id="1" w:name="_Toc104818925"/>
      <w:r>
        <w:rPr>
          <w:b/>
          <w:sz w:val="36"/>
          <w:szCs w:val="36"/>
          <w:highlight w:val="none"/>
        </w:rPr>
        <w:t xml:space="preserve">第一章   采购邀请</w:t>
      </w:r>
      <w:bookmarkEnd w:id="1"/>
      <w:r/>
      <w:bookmarkStart w:id="2" w:name="_Toc28359079"/>
      <w:r/>
      <w:bookmarkStart w:id="3" w:name="_Toc28359002"/>
      <w:r/>
      <w:bookmarkStart w:id="4" w:name="_Toc35393790"/>
      <w:r/>
      <w:bookmarkStart w:id="5" w:name="_Toc35393621"/>
      <w:r/>
      <w:bookmarkStart w:id="6" w:name="_Hlk24379207"/>
      <w:r>
        <w:rPr>
          <w:b/>
          <w:sz w:val="36"/>
          <w:szCs w:val="36"/>
          <w:highlight w:val="none"/>
        </w:rPr>
      </w:r>
      <w:r/>
    </w:p>
    <w:p>
      <w:pPr>
        <w:pStyle w:val="982"/>
        <w:ind w:firstLine="200"/>
        <w:spacing w:line="360" w:lineRule="auto"/>
        <w:rPr>
          <w:sz w:val="10"/>
          <w:szCs w:val="10"/>
          <w:highlight w:val="none"/>
        </w:rPr>
      </w:pPr>
      <w:r>
        <w:rPr>
          <w:sz w:val="10"/>
          <w:szCs w:val="10"/>
          <w:highlight w:val="none"/>
        </w:rPr>
      </w:r>
      <w:r/>
    </w:p>
    <w:p>
      <w:pPr>
        <w:pStyle w:val="983"/>
        <w:tabs>
          <w:tab w:val="left" w:pos="0" w:leader="none"/>
          <w:tab w:val="left" w:pos="3165" w:leader="none"/>
          <w:tab w:val="center" w:pos="4153" w:leader="none"/>
        </w:tabs>
        <w:rPr>
          <w:szCs w:val="32"/>
          <w:highlight w:val="none"/>
        </w:rPr>
      </w:pPr>
      <w:r/>
      <w:bookmarkEnd w:id="2"/>
      <w:r/>
      <w:bookmarkEnd w:id="3"/>
      <w:r/>
      <w:bookmarkEnd w:id="4"/>
      <w:r/>
      <w:bookmarkEnd w:id="5"/>
      <w:r/>
      <w:bookmarkEnd w:id="6"/>
      <w:r/>
      <w:bookmarkStart w:id="7" w:name="_Toc60930665"/>
      <w:r/>
      <w:bookmarkStart w:id="8" w:name="_Toc35393789"/>
      <w:r/>
      <w:bookmarkStart w:id="9" w:name="_Toc28359001"/>
      <w:r/>
      <w:bookmarkStart w:id="10" w:name="_Toc393194378"/>
      <w:r/>
      <w:bookmarkStart w:id="11" w:name="_Toc27546"/>
      <w:r/>
      <w:bookmarkStart w:id="12" w:name="_Toc329009661"/>
      <w:r/>
      <w:bookmarkStart w:id="13" w:name="_Toc15655"/>
      <w:r/>
      <w:bookmarkStart w:id="14" w:name="_Toc2959"/>
      <w:r>
        <w:rPr>
          <w:rFonts w:hint="eastAsia"/>
          <w:szCs w:val="32"/>
          <w:highlight w:val="none"/>
        </w:rPr>
        <w:t xml:space="preserve">竞争性磋商公告</w:t>
      </w:r>
      <w:bookmarkEnd w:id="7"/>
      <w:r/>
      <w:bookmarkEnd w:id="8"/>
      <w:r/>
      <w:bookmarkEnd w:id="9"/>
      <w:r>
        <w:rPr>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854" w:type="dxa"/>
            <w:vAlign w:val="top"/>
            <w:textDirection w:val="lrTb"/>
            <w:noWrap w:val="false"/>
          </w:tcPr>
          <w:p>
            <w:pPr>
              <w:pStyle w:val="982"/>
              <w:ind w:firstLine="420"/>
              <w:jc w:val="left"/>
              <w:spacing w:line="360" w:lineRule="auto"/>
              <w:rPr>
                <w:rFonts w:ascii="宋体" w:hAnsi="宋体"/>
                <w:bCs/>
                <w:color w:val="000000"/>
                <w:szCs w:val="21"/>
                <w:highlight w:val="none"/>
              </w:rPr>
            </w:pPr>
            <w:r/>
            <w:bookmarkEnd w:id="10"/>
            <w:r/>
            <w:bookmarkEnd w:id="11"/>
            <w:r/>
            <w:bookmarkEnd w:id="12"/>
            <w:r/>
            <w:bookmarkEnd w:id="13"/>
            <w:r/>
            <w:bookmarkEnd w:id="14"/>
            <w:r/>
            <w:bookmarkStart w:id="15" w:name="_Toc329009663"/>
            <w:r>
              <w:rPr>
                <w:rFonts w:hint="eastAsia" w:ascii="宋体" w:hAnsi="宋体"/>
                <w:bCs/>
                <w:color w:val="000000"/>
                <w:szCs w:val="21"/>
                <w:highlight w:val="none"/>
              </w:rPr>
              <w:t xml:space="preserve">项目概况</w:t>
            </w:r>
            <w:r>
              <w:rPr>
                <w:rFonts w:ascii="宋体" w:hAnsi="宋体"/>
                <w:bCs/>
                <w:color w:val="000000"/>
                <w:szCs w:val="21"/>
                <w:highlight w:val="none"/>
              </w:rPr>
            </w:r>
            <w:r/>
          </w:p>
          <w:p>
            <w:pPr>
              <w:pStyle w:val="982"/>
              <w:jc w:val="left"/>
              <w:spacing w:line="360" w:lineRule="auto"/>
              <w:rPr>
                <w:rFonts w:ascii="宋体" w:hAnsi="宋体"/>
                <w:bCs/>
                <w:color w:val="000000"/>
                <w:szCs w:val="21"/>
                <w:highlight w:val="none"/>
              </w:rPr>
            </w:pPr>
            <w:r>
              <w:rPr>
                <w:rFonts w:hint="eastAsia" w:ascii="宋体" w:hAnsi="宋体"/>
                <w:bCs/>
                <w:color w:val="000000"/>
                <w:szCs w:val="21"/>
                <w:highlight w:val="none"/>
                <w:u w:val="single"/>
                <w:lang w:eastAsia="zh-CN"/>
              </w:rPr>
              <w:t xml:space="preserve">2026-2027年度武进区农村公路安保设施养护及应急保障项目</w:t>
            </w:r>
            <w:r>
              <w:rPr>
                <w:rFonts w:hint="eastAsia" w:ascii="宋体" w:hAnsi="宋体"/>
                <w:bCs/>
                <w:color w:val="000000"/>
                <w:szCs w:val="21"/>
                <w:highlight w:val="none"/>
                <w:u w:val="single"/>
                <w:shd w:val="clear" w:color="auto" w:fill="auto"/>
                <w:lang w:eastAsia="zh-CN"/>
              </w:rPr>
              <w:t xml:space="preserve">JSZC-320412-CZCR-C2025-0015</w:t>
            </w:r>
            <w:r>
              <w:rPr>
                <w:rFonts w:hint="eastAsia" w:ascii="宋体" w:hAnsi="宋体"/>
                <w:bCs/>
                <w:color w:val="000000"/>
                <w:szCs w:val="21"/>
                <w:highlight w:val="none"/>
              </w:rPr>
              <w:t xml:space="preserve">的潜在供应商应在</w:t>
            </w:r>
            <w:r>
              <w:rPr>
                <w:rFonts w:hint="eastAsia" w:ascii="宋体" w:hAnsi="宋体"/>
                <w:bCs/>
                <w:color w:val="000000"/>
                <w:szCs w:val="21"/>
                <w:highlight w:val="none"/>
                <w:u w:val="single"/>
              </w:rPr>
              <w:t xml:space="preserve">“苏采云”政府采购交易系统</w:t>
            </w:r>
            <w:r>
              <w:rPr>
                <w:rFonts w:hint="eastAsia" w:ascii="宋体" w:hAnsi="宋体"/>
                <w:bCs/>
                <w:color w:val="000000"/>
                <w:szCs w:val="21"/>
                <w:highlight w:val="none"/>
              </w:rPr>
              <w:t xml:space="preserve">获取竞争性磋商文件，并于</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w:t>
            </w:r>
            <w:r>
              <w:rPr>
                <w:rFonts w:hint="eastAsia" w:ascii="宋体" w:hAnsi="宋体"/>
                <w:bCs/>
                <w:color w:val="000000"/>
                <w:szCs w:val="21"/>
                <w:highlight w:val="none"/>
                <w:u w:val="single"/>
                <w:lang w:val="en-US" w:eastAsia="zh-CN"/>
              </w:rPr>
              <w:t xml:space="preserve">2</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2</w:t>
            </w:r>
            <w:r>
              <w:rPr>
                <w:rFonts w:hint="eastAsia" w:ascii="宋体" w:hAnsi="宋体"/>
                <w:bCs/>
                <w:color w:val="000000"/>
                <w:szCs w:val="21"/>
                <w:highlight w:val="none"/>
                <w:u w:val="single"/>
                <w:lang w:val="en-US" w:eastAsia="zh-CN"/>
              </w:rPr>
              <w:t xml:space="preserve">2</w:t>
            </w:r>
            <w:r>
              <w:rPr>
                <w:rFonts w:hint="eastAsia" w:ascii="宋体" w:hAnsi="宋体"/>
                <w:bCs/>
                <w:color w:val="000000"/>
                <w:szCs w:val="21"/>
                <w:highlight w:val="none"/>
                <w:u w:val="single"/>
              </w:rPr>
              <w:t xml:space="preserve">日14:30（北京时间）</w:t>
            </w:r>
            <w:r>
              <w:rPr>
                <w:rFonts w:hint="eastAsia" w:ascii="宋体" w:hAnsi="宋体"/>
                <w:bCs/>
                <w:color w:val="000000"/>
                <w:szCs w:val="21"/>
                <w:highlight w:val="none"/>
              </w:rPr>
              <w:t xml:space="preserve">前提交响应文件。</w:t>
            </w:r>
            <w:r>
              <w:rPr>
                <w:rFonts w:ascii="宋体" w:hAnsi="宋体"/>
                <w:bCs/>
                <w:color w:val="000000"/>
                <w:szCs w:val="21"/>
                <w:highlight w:val="none"/>
              </w:rPr>
            </w:r>
            <w:r/>
          </w:p>
        </w:tc>
      </w:tr>
    </w:tbl>
    <w:p>
      <w:pPr>
        <w:pStyle w:val="982"/>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一、项目基本情况</w:t>
      </w:r>
      <w:r>
        <w:rPr>
          <w:rFonts w:ascii="宋体" w:hAnsi="宋体"/>
          <w:bCs/>
          <w:color w:val="000000"/>
          <w:szCs w:val="21"/>
          <w:highlight w:val="none"/>
        </w:rPr>
      </w:r>
      <w:r/>
    </w:p>
    <w:p>
      <w:pPr>
        <w:pStyle w:val="982"/>
        <w:ind w:firstLine="420"/>
        <w:jc w:val="left"/>
        <w:spacing w:line="360" w:lineRule="auto"/>
        <w:rPr>
          <w:rFonts w:hint="eastAsia" w:ascii="宋体" w:hAnsi="宋体" w:eastAsia="宋体" w:cs="Times New Roman"/>
          <w:bCs/>
          <w:szCs w:val="21"/>
          <w:highlight w:val="none"/>
          <w:u w:val="single"/>
          <w:lang w:eastAsia="zh-CN"/>
        </w:rPr>
      </w:pPr>
      <w:r>
        <w:rPr>
          <w:rFonts w:hint="eastAsia" w:ascii="宋体" w:hAnsi="宋体"/>
          <w:bCs/>
          <w:color w:val="000000"/>
          <w:szCs w:val="21"/>
          <w:highlight w:val="none"/>
        </w:rPr>
        <w:t xml:space="preserve">1.项目编号：</w:t>
      </w:r>
      <w:r>
        <w:rPr>
          <w:rFonts w:hint="eastAsia" w:ascii="宋体" w:hAnsi="宋体" w:eastAsia="宋体" w:cs="Times New Roman"/>
          <w:bCs/>
          <w:color w:val="000000"/>
          <w:szCs w:val="21"/>
          <w:highlight w:val="none"/>
          <w:u w:val="single"/>
          <w:shd w:val="clear" w:color="auto" w:fill="auto"/>
          <w:lang w:eastAsia="zh-CN"/>
        </w:rPr>
        <w:t xml:space="preserve">JSZC-320412-CZCR-C2025-0015</w:t>
      </w:r>
      <w:r>
        <w:rPr>
          <w:rFonts w:hint="eastAsia" w:ascii="宋体" w:hAnsi="宋体" w:eastAsia="宋体" w:cs="Times New Roman"/>
          <w:bCs/>
          <w:szCs w:val="21"/>
          <w:highlight w:val="none"/>
          <w:u w:val="single"/>
          <w:lang w:eastAsia="zh-CN"/>
        </w:rPr>
      </w:r>
      <w:r/>
    </w:p>
    <w:p>
      <w:pPr>
        <w:pStyle w:val="982"/>
        <w:ind w:firstLine="420"/>
        <w:jc w:val="left"/>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2.项目名称：</w:t>
      </w:r>
      <w:r>
        <w:rPr>
          <w:rFonts w:hint="eastAsia" w:ascii="宋体" w:hAnsi="宋体"/>
          <w:bCs/>
          <w:szCs w:val="21"/>
          <w:highlight w:val="none"/>
          <w:u w:val="single"/>
          <w:lang w:eastAsia="zh-CN"/>
        </w:rPr>
        <w:t xml:space="preserve">2026-2027年度武进区农村公路安保设施养护及应急保障项目</w:t>
      </w:r>
      <w:r>
        <w:rPr>
          <w:rFonts w:hint="eastAsia" w:ascii="宋体" w:hAnsi="宋体" w:eastAsia="宋体"/>
          <w:bCs/>
          <w:szCs w:val="21"/>
          <w:highlight w:val="none"/>
          <w:lang w:eastAsia="zh-CN"/>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3.采购方式：</w:t>
      </w:r>
      <w:r>
        <w:rPr>
          <w:rFonts w:hint="eastAsia" w:ascii="宋体" w:hAnsi="宋体"/>
          <w:bCs/>
          <w:szCs w:val="21"/>
          <w:highlight w:val="none"/>
          <w:u w:val="single"/>
        </w:rPr>
        <w:t xml:space="preserve">竞争性磋商</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4.预算金额：</w:t>
      </w:r>
      <w:r>
        <w:rPr>
          <w:rFonts w:hint="eastAsia" w:ascii="宋体" w:hAnsi="宋体"/>
          <w:bCs/>
          <w:szCs w:val="21"/>
          <w:highlight w:val="none"/>
          <w:u w:val="single"/>
          <w:lang w:val="en-US" w:eastAsia="zh-CN"/>
        </w:rPr>
        <w:t xml:space="preserve">3</w:t>
      </w:r>
      <w:r>
        <w:rPr>
          <w:rFonts w:hint="eastAsia" w:ascii="宋体" w:hAnsi="宋体"/>
          <w:bCs/>
          <w:szCs w:val="21"/>
          <w:highlight w:val="none"/>
          <w:u w:val="single"/>
          <w:lang w:val="en-US" w:eastAsia="zh-CN"/>
        </w:rPr>
        <w:t xml:space="preserve">92</w:t>
      </w:r>
      <w:r>
        <w:rPr>
          <w:rFonts w:hint="eastAsia" w:ascii="宋体" w:hAnsi="宋体"/>
          <w:bCs/>
          <w:szCs w:val="21"/>
          <w:highlight w:val="none"/>
          <w:u w:val="single"/>
        </w:rPr>
        <w:t xml:space="preserve">万元</w:t>
      </w:r>
      <w:r>
        <w:rPr>
          <w:rFonts w:ascii="宋体" w:hAnsi="宋体"/>
          <w:bCs/>
          <w:szCs w:val="21"/>
          <w:highlight w:val="none"/>
        </w:rPr>
      </w:r>
      <w:r/>
    </w:p>
    <w:p>
      <w:pPr>
        <w:pStyle w:val="982"/>
        <w:ind w:firstLine="420"/>
        <w:jc w:val="left"/>
        <w:spacing w:line="360" w:lineRule="auto"/>
        <w:tabs>
          <w:tab w:val="left" w:pos="3780" w:leader="none"/>
        </w:tabs>
        <w:rPr>
          <w:rFonts w:ascii="宋体" w:hAnsi="宋体"/>
          <w:bCs/>
          <w:szCs w:val="21"/>
          <w:highlight w:val="none"/>
        </w:rPr>
      </w:pPr>
      <w:r>
        <w:rPr>
          <w:rFonts w:hint="eastAsia" w:ascii="宋体" w:hAnsi="宋体"/>
          <w:bCs/>
          <w:szCs w:val="21"/>
          <w:highlight w:val="none"/>
        </w:rPr>
        <w:t xml:space="preserve">5.最高限价：</w:t>
      </w:r>
      <w:r>
        <w:rPr>
          <w:rFonts w:hint="eastAsia" w:ascii="宋体" w:hAnsi="宋体"/>
          <w:bCs/>
          <w:szCs w:val="21"/>
          <w:highlight w:val="none"/>
          <w:u w:val="single"/>
          <w:shd w:val="clear" w:color="auto" w:fill="auto"/>
        </w:rPr>
        <w:t xml:space="preserve">01包：</w:t>
      </w:r>
      <w:r>
        <w:rPr>
          <w:rFonts w:hint="eastAsia" w:ascii="宋体" w:hAnsi="宋体"/>
          <w:bCs/>
          <w:szCs w:val="21"/>
          <w:highlight w:val="none"/>
          <w:u w:val="single"/>
          <w:shd w:val="clear" w:color="auto" w:fill="auto"/>
          <w:lang w:val="en-US" w:eastAsia="zh-CN"/>
        </w:rPr>
        <w:t xml:space="preserve">176</w:t>
      </w:r>
      <w:r>
        <w:rPr>
          <w:rFonts w:hint="eastAsia" w:ascii="宋体" w:hAnsi="宋体"/>
          <w:bCs/>
          <w:szCs w:val="21"/>
          <w:highlight w:val="none"/>
          <w:u w:val="single"/>
          <w:shd w:val="clear" w:color="auto" w:fill="auto"/>
        </w:rPr>
        <w:t xml:space="preserve">万元/2年；02包：</w:t>
      </w:r>
      <w:r>
        <w:rPr>
          <w:rFonts w:hint="eastAsia" w:ascii="宋体" w:hAnsi="宋体"/>
          <w:bCs/>
          <w:szCs w:val="21"/>
          <w:highlight w:val="none"/>
          <w:u w:val="single"/>
          <w:shd w:val="clear" w:color="auto" w:fill="auto"/>
          <w:lang w:val="en-US" w:eastAsia="zh-CN"/>
        </w:rPr>
        <w:t xml:space="preserve">216</w:t>
      </w:r>
      <w:r>
        <w:rPr>
          <w:rFonts w:hint="eastAsia" w:ascii="宋体" w:hAnsi="宋体"/>
          <w:bCs/>
          <w:szCs w:val="21"/>
          <w:highlight w:val="none"/>
          <w:u w:val="single"/>
          <w:shd w:val="clear" w:color="auto" w:fill="auto"/>
        </w:rPr>
        <w:t xml:space="preserve">万元/2年</w:t>
      </w:r>
      <w:r>
        <w:rPr>
          <w:rFonts w:hint="eastAsia" w:ascii="宋体" w:hAnsi="宋体"/>
          <w:bCs/>
          <w:szCs w:val="21"/>
          <w:highlight w:val="none"/>
          <w:u w:val="single"/>
        </w:rPr>
        <w:t xml:space="preserve">。</w:t>
      </w:r>
      <w:r>
        <w:rPr>
          <w:rFonts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6.采购需求：</w:t>
      </w:r>
      <w:r>
        <w:rPr>
          <w:rFonts w:hint="eastAsia" w:ascii="宋体" w:hAnsi="宋体"/>
          <w:bCs/>
          <w:szCs w:val="21"/>
          <w:highlight w:val="none"/>
        </w:rPr>
      </w:r>
      <w:r/>
    </w:p>
    <w:p>
      <w:pPr>
        <w:pStyle w:val="982"/>
        <w:ind w:firstLine="420"/>
        <w:jc w:val="left"/>
        <w:spacing w:line="360" w:lineRule="auto"/>
        <w:rPr>
          <w:rFonts w:hint="eastAsia" w:ascii="宋体" w:hAnsi="宋体" w:eastAsia="宋体"/>
          <w:bCs/>
          <w:szCs w:val="21"/>
          <w:highlight w:val="none"/>
          <w:u w:val="single"/>
          <w:lang w:eastAsia="zh-CN"/>
        </w:rPr>
      </w:pPr>
      <w:r>
        <w:rPr>
          <w:rFonts w:hint="eastAsia" w:ascii="宋体" w:hAnsi="宋体"/>
          <w:bCs/>
          <w:szCs w:val="21"/>
          <w:highlight w:val="none"/>
          <w:u w:val="single"/>
        </w:rPr>
        <w:t xml:space="preserve">01包，主要工作内容为</w:t>
      </w:r>
      <w:r>
        <w:rPr>
          <w:rFonts w:hint="eastAsia" w:ascii="宋体" w:hAnsi="宋体"/>
          <w:bCs/>
          <w:szCs w:val="21"/>
          <w:highlight w:val="none"/>
          <w:u w:val="single"/>
        </w:rPr>
        <w:t xml:space="preserve">202</w:t>
      </w:r>
      <w:r>
        <w:rPr>
          <w:rFonts w:hint="eastAsia" w:ascii="宋体" w:hAnsi="宋体"/>
          <w:bCs/>
          <w:szCs w:val="21"/>
          <w:highlight w:val="none"/>
          <w:u w:val="single"/>
          <w:lang w:val="en-US" w:eastAsia="zh-CN"/>
        </w:rPr>
        <w:t xml:space="preserve">6</w:t>
      </w:r>
      <w:r>
        <w:rPr>
          <w:rFonts w:hint="eastAsia" w:ascii="宋体" w:hAnsi="宋体"/>
          <w:bCs/>
          <w:szCs w:val="21"/>
          <w:highlight w:val="none"/>
          <w:u w:val="single"/>
        </w:rPr>
        <w:t xml:space="preserve">至202</w:t>
      </w:r>
      <w:r>
        <w:rPr>
          <w:rFonts w:hint="eastAsia" w:ascii="宋体" w:hAnsi="宋体"/>
          <w:bCs/>
          <w:szCs w:val="21"/>
          <w:highlight w:val="none"/>
          <w:u w:val="single"/>
          <w:lang w:val="en-US" w:eastAsia="zh-CN"/>
        </w:rPr>
        <w:t xml:space="preserve">7</w:t>
      </w:r>
      <w:r>
        <w:rPr>
          <w:rFonts w:hint="eastAsia" w:ascii="宋体" w:hAnsi="宋体"/>
          <w:bCs/>
          <w:szCs w:val="21"/>
          <w:highlight w:val="none"/>
          <w:u w:val="single"/>
        </w:rPr>
        <w:t xml:space="preserve">年度区公路中心管养范围内农村公路</w:t>
      </w:r>
      <w:r>
        <w:rPr>
          <w:rFonts w:hint="eastAsia" w:ascii="宋体" w:hAnsi="宋体"/>
          <w:bCs/>
          <w:szCs w:val="21"/>
          <w:highlight w:val="none"/>
          <w:u w:val="single"/>
        </w:rPr>
        <w:t xml:space="preserve">01包片区路线范围内突发事件和恶劣天气的应急抢险及安保设施的日常保障养护，以及为实施上述施工所必须的临时工程及缺陷修复等。（路线明细详见采购需求</w:t>
      </w:r>
      <w:r>
        <w:rPr>
          <w:rFonts w:hint="eastAsia" w:ascii="宋体" w:hAnsi="宋体"/>
          <w:bCs/>
          <w:szCs w:val="21"/>
          <w:highlight w:val="none"/>
          <w:u w:val="single"/>
          <w:lang w:eastAsia="zh-CN"/>
        </w:rPr>
        <w:t xml:space="preserve">）</w:t>
      </w:r>
      <w:r>
        <w:rPr>
          <w:rFonts w:hint="eastAsia" w:ascii="宋体" w:hAnsi="宋体" w:eastAsia="宋体"/>
          <w:bCs/>
          <w:szCs w:val="21"/>
          <w:highlight w:val="none"/>
          <w:u w:val="single"/>
          <w:lang w:eastAsia="zh-CN"/>
        </w:rPr>
      </w:r>
      <w:r/>
    </w:p>
    <w:p>
      <w:pPr>
        <w:pStyle w:val="982"/>
        <w:ind w:firstLine="420"/>
        <w:jc w:val="left"/>
        <w:spacing w:line="360" w:lineRule="auto"/>
        <w:rPr>
          <w:rFonts w:hint="eastAsia" w:ascii="宋体" w:hAnsi="宋体"/>
          <w:bCs/>
          <w:szCs w:val="21"/>
          <w:highlight w:val="none"/>
          <w:u w:val="single"/>
        </w:rPr>
      </w:pPr>
      <w:r>
        <w:rPr>
          <w:rFonts w:hint="eastAsia" w:ascii="宋体" w:hAnsi="宋体"/>
          <w:bCs/>
          <w:szCs w:val="21"/>
          <w:highlight w:val="none"/>
          <w:u w:val="single"/>
        </w:rPr>
        <w:t xml:space="preserve">02包，主要工作内容为202</w:t>
      </w:r>
      <w:r>
        <w:rPr>
          <w:rFonts w:hint="eastAsia" w:ascii="宋体" w:hAnsi="宋体"/>
          <w:bCs/>
          <w:szCs w:val="21"/>
          <w:highlight w:val="none"/>
          <w:u w:val="single"/>
          <w:lang w:val="en-US" w:eastAsia="zh-CN"/>
        </w:rPr>
        <w:t xml:space="preserve">6</w:t>
      </w:r>
      <w:r>
        <w:rPr>
          <w:rFonts w:hint="eastAsia" w:ascii="宋体" w:hAnsi="宋体"/>
          <w:bCs/>
          <w:szCs w:val="21"/>
          <w:highlight w:val="none"/>
          <w:u w:val="single"/>
        </w:rPr>
        <w:t xml:space="preserve">至202</w:t>
      </w:r>
      <w:r>
        <w:rPr>
          <w:rFonts w:hint="eastAsia" w:ascii="宋体" w:hAnsi="宋体"/>
          <w:bCs/>
          <w:szCs w:val="21"/>
          <w:highlight w:val="none"/>
          <w:u w:val="single"/>
          <w:lang w:val="en-US" w:eastAsia="zh-CN"/>
        </w:rPr>
        <w:t xml:space="preserve">7</w:t>
      </w:r>
      <w:r>
        <w:rPr>
          <w:rFonts w:hint="eastAsia" w:ascii="宋体" w:hAnsi="宋体"/>
          <w:bCs/>
          <w:szCs w:val="21"/>
          <w:highlight w:val="none"/>
          <w:u w:val="single"/>
        </w:rPr>
        <w:t xml:space="preserve">年度区公路中心管养范围内</w:t>
      </w:r>
      <w:r>
        <w:rPr>
          <w:rFonts w:hint="eastAsia" w:ascii="宋体" w:hAnsi="宋体"/>
          <w:bCs/>
          <w:szCs w:val="21"/>
          <w:highlight w:val="none"/>
          <w:u w:val="single"/>
        </w:rPr>
        <w:t xml:space="preserve">农村</w:t>
      </w:r>
      <w:r>
        <w:rPr>
          <w:rFonts w:hint="eastAsia" w:ascii="宋体" w:hAnsi="宋体"/>
          <w:bCs/>
          <w:szCs w:val="21"/>
          <w:highlight w:val="none"/>
          <w:u w:val="single"/>
        </w:rPr>
        <w:t xml:space="preserve">公路02包片区路线范围内突发事件和恶劣天气的应急抢险及安保设施的日常保障养护，以及为实施上述施工所必须的临时工程及缺陷修复等。（路线明细详见采购需求）</w:t>
      </w:r>
      <w:r>
        <w:rPr>
          <w:rFonts w:hint="eastAsia" w:ascii="宋体" w:hAnsi="宋体"/>
          <w:bCs/>
          <w:szCs w:val="21"/>
          <w:highlight w:val="none"/>
          <w:u w:val="singl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供应商可对本次采购的单个包或全部包进行响应，在响应文件中注明所投包并响应该包全部内容。同一供应商仅限成交一个包。</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u w:val="single"/>
        </w:rPr>
      </w:pPr>
      <w:r>
        <w:rPr>
          <w:rFonts w:hint="eastAsia" w:ascii="宋体" w:hAnsi="宋体"/>
          <w:bCs/>
          <w:szCs w:val="21"/>
          <w:highlight w:val="none"/>
        </w:rPr>
        <w:t xml:space="preserve">2个包同时评审，按0</w:t>
      </w:r>
      <w:r>
        <w:rPr>
          <w:rFonts w:hint="eastAsia" w:ascii="宋体" w:hAnsi="宋体"/>
          <w:bCs/>
          <w:szCs w:val="21"/>
          <w:highlight w:val="none"/>
          <w:lang w:val="en-US" w:eastAsia="zh-CN"/>
        </w:rPr>
        <w:t xml:space="preserve">2</w:t>
      </w:r>
      <w:r>
        <w:rPr>
          <w:rFonts w:hint="eastAsia" w:ascii="宋体" w:hAnsi="宋体"/>
          <w:bCs/>
          <w:szCs w:val="21"/>
          <w:highlight w:val="none"/>
        </w:rPr>
        <w:t xml:space="preserve">包→0</w:t>
      </w:r>
      <w:r>
        <w:rPr>
          <w:rFonts w:hint="eastAsia" w:ascii="宋体" w:hAnsi="宋体"/>
          <w:bCs/>
          <w:szCs w:val="21"/>
          <w:highlight w:val="none"/>
          <w:lang w:val="en-US" w:eastAsia="zh-CN"/>
        </w:rPr>
        <w:t xml:space="preserve">1</w:t>
      </w:r>
      <w:r>
        <w:rPr>
          <w:rFonts w:hint="eastAsia" w:ascii="宋体" w:hAnsi="宋体"/>
          <w:bCs/>
          <w:szCs w:val="21"/>
          <w:highlight w:val="none"/>
        </w:rPr>
        <w:t xml:space="preserve">包的顺序依次确定第一成交候选人，0</w:t>
      </w:r>
      <w:r>
        <w:rPr>
          <w:rFonts w:hint="eastAsia" w:ascii="宋体" w:hAnsi="宋体"/>
          <w:bCs/>
          <w:szCs w:val="21"/>
          <w:highlight w:val="none"/>
          <w:lang w:val="en-US" w:eastAsia="zh-CN"/>
        </w:rPr>
        <w:t xml:space="preserve">2</w:t>
      </w:r>
      <w:r>
        <w:rPr>
          <w:rFonts w:hint="eastAsia" w:ascii="宋体" w:hAnsi="宋体"/>
          <w:bCs/>
          <w:szCs w:val="21"/>
          <w:highlight w:val="none"/>
        </w:rPr>
        <w:t xml:space="preserve">包确定为第一成交候选人的</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不再被推荐为0</w:t>
      </w:r>
      <w:r>
        <w:rPr>
          <w:rFonts w:hint="eastAsia" w:ascii="宋体" w:hAnsi="宋体"/>
          <w:bCs/>
          <w:szCs w:val="21"/>
          <w:highlight w:val="none"/>
          <w:lang w:val="en-US" w:eastAsia="zh-CN"/>
        </w:rPr>
        <w:t xml:space="preserve">1</w:t>
      </w:r>
      <w:r>
        <w:rPr>
          <w:rFonts w:hint="eastAsia" w:ascii="宋体" w:hAnsi="宋体"/>
          <w:bCs/>
          <w:szCs w:val="21"/>
          <w:highlight w:val="none"/>
        </w:rPr>
        <w:t xml:space="preserve">包的第一成交候选人。</w:t>
      </w:r>
      <w:r>
        <w:rPr>
          <w:rFonts w:hint="eastAsia" w:ascii="宋体" w:hAnsi="宋体"/>
          <w:bCs/>
          <w:szCs w:val="21"/>
          <w:highlight w:val="none"/>
          <w:u w:val="single"/>
        </w:rPr>
      </w:r>
      <w:r/>
    </w:p>
    <w:p>
      <w:pPr>
        <w:pStyle w:val="982"/>
        <w:ind w:firstLine="420"/>
        <w:jc w:val="left"/>
        <w:spacing w:line="360" w:lineRule="auto"/>
        <w:rPr>
          <w:rFonts w:ascii="宋体" w:hAnsi="宋体"/>
          <w:szCs w:val="21"/>
          <w:highlight w:val="none"/>
        </w:rPr>
      </w:pPr>
      <w:r>
        <w:rPr>
          <w:rFonts w:hint="eastAsia" w:ascii="宋体" w:hAnsi="宋体"/>
          <w:bCs/>
          <w:szCs w:val="21"/>
          <w:highlight w:val="none"/>
        </w:rPr>
        <w:t xml:space="preserve">7.合同履行期限：</w:t>
      </w:r>
      <w:r>
        <w:rPr>
          <w:rFonts w:hint="eastAsia" w:ascii="宋体" w:hAnsi="宋体"/>
          <w:bCs/>
          <w:szCs w:val="21"/>
          <w:highlight w:val="none"/>
        </w:rPr>
        <w:t xml:space="preserve">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年-202</w:t>
      </w:r>
      <w:r>
        <w:rPr>
          <w:rFonts w:hint="eastAsia" w:ascii="宋体" w:hAnsi="宋体"/>
          <w:bCs/>
          <w:szCs w:val="21"/>
          <w:highlight w:val="none"/>
          <w:lang w:val="en-US" w:eastAsia="zh-CN"/>
        </w:rPr>
        <w:t xml:space="preserve">7</w:t>
      </w:r>
      <w:r>
        <w:rPr>
          <w:rFonts w:hint="eastAsia" w:ascii="宋体" w:hAnsi="宋体"/>
          <w:bCs/>
          <w:szCs w:val="21"/>
          <w:highlight w:val="none"/>
        </w:rPr>
        <w:t xml:space="preserve">年，合同一年一签。前一年合同期满，采购人视供应商履约情况续签下一年合同</w:t>
      </w:r>
      <w:r>
        <w:rPr>
          <w:rFonts w:hint="eastAsia" w:ascii="宋体" w:hAnsi="宋体"/>
          <w:szCs w:val="21"/>
          <w:highlight w:val="none"/>
        </w:rPr>
        <w:t xml:space="preserve">。</w:t>
      </w:r>
      <w:r>
        <w:rPr>
          <w:rFonts w:ascii="宋体" w:hAnsi="宋体"/>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8.本项目（是/否）接受联合体投标：</w:t>
      </w:r>
      <w:r>
        <w:rPr>
          <w:rFonts w:hint="eastAsia" w:ascii="宋体" w:hAnsi="宋体"/>
          <w:bCs/>
          <w:szCs w:val="21"/>
          <w:highlight w:val="none"/>
        </w:rPr>
        <w:t xml:space="preserve">否</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二、申请人的资格要求</w:t>
      </w:r>
      <w:r>
        <w:rPr>
          <w:rFonts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（一）满足《中华人民共和国政府采购法》第二十二条规定；</w:t>
      </w:r>
      <w:r>
        <w:rPr>
          <w:rFonts w:hint="eastAsia"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1.1 满足《中华人民共和国政府采购法》第二十二条规定以及下列情形。</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（二）落实政府采购政策需满足的资格要求：</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2.1 中小企业政策：本项目专门面向中小微企业采购。即：提供的服务全部由符合政策要求的中小微企业承接。监狱企业、残疾性福利企业视同小微企业。</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2.2 其他落实政府采购政策的资格要求（如有）：无。</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（三）本项目的特定资格要求：</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3.1供应商具有独立法人资格，持有有效营业执照或事业单位法人证书。</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3.2供应商具有交通主管部门核发的有效的公路养护作业交通安全设施养护资质。</w:t>
      </w:r>
      <w:r>
        <w:rPr>
          <w:rFonts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3.3供应商具备省级及以上有关主管部门核发的有效的《安全生产许可证》。</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（四）其他要求：</w:t>
      </w:r>
      <w:r>
        <w:rPr>
          <w:rFonts w:hint="eastAsia"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4.1</w:t>
      </w:r>
      <w:r>
        <w:rPr>
          <w:rFonts w:hint="eastAsia" w:ascii="宋体" w:hAnsi="宋体"/>
          <w:szCs w:val="21"/>
          <w:highlight w:val="none"/>
        </w:rPr>
        <w:t xml:space="preserve">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三、获取磋商文件</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rPr>
        <w:t xml:space="preserve">自磋商文件公告发布之日起5个工作日。</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2.地点：“苏采云”政府采购交易系统</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3.方式：供应商持CA数字认证证书登录“苏采云”政府采购交易系统获取电子版磋商文件。</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4.售价：0元</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四、响应文件提交</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截止时间：202</w:t>
      </w:r>
      <w:r>
        <w:rPr>
          <w:rFonts w:hint="eastAsia" w:ascii="宋体" w:hAnsi="宋体"/>
          <w:bCs/>
          <w:szCs w:val="21"/>
          <w:highlight w:val="none"/>
          <w:lang w:val="en-US" w:eastAsia="zh-CN"/>
        </w:rPr>
        <w:t xml:space="preserve">5</w:t>
      </w:r>
      <w:r>
        <w:rPr>
          <w:rFonts w:hint="eastAsia" w:ascii="宋体" w:hAnsi="宋体"/>
          <w:bCs/>
          <w:szCs w:val="21"/>
          <w:highlight w:val="none"/>
        </w:rPr>
        <w:t xml:space="preserve">年</w:t>
      </w:r>
      <w:r>
        <w:rPr>
          <w:rFonts w:hint="eastAsia" w:ascii="宋体" w:hAnsi="宋体"/>
          <w:bCs/>
          <w:szCs w:val="21"/>
          <w:highlight w:val="none"/>
          <w:u w:val="none"/>
          <w:lang w:val="en-US" w:eastAsia="zh-CN"/>
        </w:rPr>
        <w:t xml:space="preserve">12</w:t>
      </w:r>
      <w:r>
        <w:rPr>
          <w:rFonts w:hint="eastAsia" w:ascii="宋体" w:hAnsi="宋体"/>
          <w:bCs/>
          <w:szCs w:val="21"/>
          <w:highlight w:val="none"/>
          <w:u w:val="none"/>
        </w:rPr>
        <w:t xml:space="preserve">月</w:t>
      </w:r>
      <w:r>
        <w:rPr>
          <w:rFonts w:hint="eastAsia" w:ascii="宋体" w:hAnsi="宋体"/>
          <w:bCs/>
          <w:szCs w:val="21"/>
          <w:highlight w:val="none"/>
          <w:u w:val="none"/>
          <w:lang w:val="en-US" w:eastAsia="zh-CN"/>
        </w:rPr>
        <w:t xml:space="preserve">2</w:t>
      </w:r>
      <w:r>
        <w:rPr>
          <w:rFonts w:hint="eastAsia" w:ascii="宋体" w:hAnsi="宋体"/>
          <w:bCs/>
          <w:szCs w:val="21"/>
          <w:highlight w:val="none"/>
          <w:u w:val="none"/>
          <w:lang w:val="en-US" w:eastAsia="zh-CN"/>
        </w:rPr>
        <w:t xml:space="preserve">2</w:t>
      </w:r>
      <w:r>
        <w:rPr>
          <w:rFonts w:hint="eastAsia" w:ascii="宋体" w:hAnsi="宋体"/>
          <w:bCs/>
          <w:szCs w:val="21"/>
          <w:highlight w:val="none"/>
        </w:rPr>
        <w:t xml:space="preserve">日14时30分（北京时间）</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地点：本项目采用不见面交易方式，无需到现场提交，供应商登录“苏采云”政府采购交易系统供应商端，通过系统在线提交电子响应文件。</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五、开启</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时间：202</w:t>
      </w:r>
      <w:r>
        <w:rPr>
          <w:rFonts w:hint="eastAsia" w:ascii="宋体" w:hAnsi="宋体"/>
          <w:bCs/>
          <w:szCs w:val="21"/>
          <w:highlight w:val="none"/>
          <w:lang w:val="en-US" w:eastAsia="zh-CN"/>
        </w:rPr>
        <w:t xml:space="preserve">5</w:t>
      </w:r>
      <w:r>
        <w:rPr>
          <w:rFonts w:hint="eastAsia" w:ascii="宋体" w:hAnsi="宋体"/>
          <w:bCs/>
          <w:szCs w:val="21"/>
          <w:highlight w:val="none"/>
        </w:rPr>
        <w:t xml:space="preserve">年</w:t>
      </w:r>
      <w:r>
        <w:rPr>
          <w:rFonts w:hint="eastAsia" w:ascii="宋体" w:hAnsi="宋体"/>
          <w:bCs/>
          <w:szCs w:val="21"/>
          <w:highlight w:val="none"/>
          <w:u w:val="none"/>
          <w:lang w:val="en-US" w:eastAsia="zh-CN"/>
        </w:rPr>
        <w:t xml:space="preserve">1</w:t>
      </w:r>
      <w:r>
        <w:rPr>
          <w:rFonts w:hint="eastAsia" w:ascii="宋体" w:hAnsi="宋体"/>
          <w:bCs/>
          <w:szCs w:val="21"/>
          <w:highlight w:val="none"/>
          <w:u w:val="none"/>
          <w:lang w:val="en-US" w:eastAsia="zh-CN"/>
        </w:rPr>
        <w:t xml:space="preserve">2</w:t>
      </w:r>
      <w:r>
        <w:rPr>
          <w:rFonts w:hint="eastAsia" w:ascii="宋体" w:hAnsi="宋体"/>
          <w:bCs/>
          <w:szCs w:val="21"/>
          <w:highlight w:val="none"/>
          <w:u w:val="none"/>
        </w:rPr>
        <w:t xml:space="preserve">月</w:t>
      </w:r>
      <w:r>
        <w:rPr>
          <w:rFonts w:hint="eastAsia" w:ascii="宋体" w:hAnsi="宋体"/>
          <w:bCs/>
          <w:szCs w:val="21"/>
          <w:highlight w:val="none"/>
          <w:u w:val="none"/>
          <w:lang w:val="en-US" w:eastAsia="zh-CN"/>
        </w:rPr>
        <w:t xml:space="preserve">22</w:t>
      </w:r>
      <w:r>
        <w:rPr>
          <w:rFonts w:hint="eastAsia" w:ascii="宋体" w:hAnsi="宋体"/>
          <w:bCs/>
          <w:szCs w:val="21"/>
          <w:highlight w:val="none"/>
        </w:rPr>
        <w:t xml:space="preserve">日14时30分（北京时间）</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地点：本项目采用不见面交易方式，无需到现场提交，供应商登录“苏采云”政府采购交易系统供应商端，通过系统在线提交电子响应文件。</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六、公告期限</w:t>
      </w:r>
      <w:r>
        <w:rPr>
          <w:rFonts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自本公告发布之日起3个工作日。</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七、其他补充事宜</w:t>
      </w:r>
      <w:r>
        <w:rPr>
          <w:rFonts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1.磋商保证金</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3.注意事项</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4.关于常州市中小企业政府采购信用融资：</w:t>
      </w:r>
      <w:r>
        <w:rPr>
          <w:rFonts w:hint="eastAsia" w:ascii="宋体" w:hAnsi="宋体"/>
          <w:bCs/>
          <w:szCs w:val="21"/>
          <w:highlight w:val="none"/>
        </w:rPr>
      </w:r>
      <w:r/>
    </w:p>
    <w:p>
      <w:pPr>
        <w:pStyle w:val="982"/>
        <w:ind w:firstLine="420"/>
        <w:jc w:val="left"/>
        <w:spacing w:line="360" w:lineRule="auto"/>
        <w:rPr>
          <w:rFonts w:ascii="宋体" w:hAnsi="宋体"/>
          <w:bCs/>
          <w:szCs w:val="21"/>
          <w:highlight w:val="none"/>
        </w:rPr>
      </w:pPr>
      <w:r>
        <w:rPr>
          <w:rFonts w:hint="eastAsia" w:ascii="宋体" w:hAnsi="宋体"/>
          <w:bCs/>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highlight w:val="none"/>
        </w:rPr>
      </w:r>
      <w:r/>
    </w:p>
    <w:p>
      <w:pPr>
        <w:pStyle w:val="982"/>
        <w:jc w:val="left"/>
        <w:spacing w:line="360" w:lineRule="auto"/>
        <w:rPr>
          <w:rFonts w:ascii="宋体" w:hAnsi="宋体"/>
          <w:bCs/>
          <w:szCs w:val="21"/>
          <w:highlight w:val="none"/>
        </w:rPr>
      </w:pPr>
      <w:r>
        <w:rPr>
          <w:rFonts w:hint="eastAsia" w:ascii="宋体" w:hAnsi="宋体"/>
          <w:bCs/>
          <w:szCs w:val="21"/>
          <w:highlight w:val="none"/>
        </w:rPr>
        <w:t xml:space="preserve">八、凡对本次采购提出询问，请按以下方式联系。</w:t>
      </w:r>
      <w:r>
        <w:rPr>
          <w:rFonts w:ascii="宋体" w:hAnsi="宋体"/>
          <w:bCs/>
          <w:szCs w:val="21"/>
          <w:highlight w:val="none"/>
        </w:rPr>
      </w:r>
      <w:r/>
    </w:p>
    <w:p>
      <w:pPr>
        <w:pStyle w:val="982"/>
        <w:ind w:firstLine="420"/>
        <w:jc w:val="left"/>
        <w:spacing w:line="360" w:lineRule="auto"/>
        <w:rPr>
          <w:rFonts w:hint="eastAsia" w:ascii="宋体" w:hAnsi="宋体"/>
          <w:bCs/>
          <w:szCs w:val="21"/>
          <w:highlight w:val="none"/>
        </w:rPr>
      </w:pPr>
      <w:r/>
      <w:bookmarkEnd w:id="15"/>
      <w:r>
        <w:rPr>
          <w:rFonts w:hint="eastAsia" w:ascii="宋体" w:hAnsi="宋体"/>
          <w:bCs/>
          <w:szCs w:val="21"/>
          <w:highlight w:val="none"/>
        </w:rPr>
        <w:t xml:space="preserve">1.采购人信息：</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名称：常州市武进区公路事业发展中心</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地址：中吴大道1289号</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联系人：巢卿</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联系方式：0519-86908287</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2.采购代理机构信息</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名称：常州市长润工程咨询有限公司</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地址：常州市新北区太湖中路19号</w:t>
      </w:r>
      <w:r>
        <w:rPr>
          <w:rFonts w:hint="eastAsia" w:ascii="宋体" w:hAnsi="宋体"/>
          <w:bCs/>
          <w:szCs w:val="21"/>
          <w:highlight w:val="none"/>
          <w:lang w:val="en-US" w:eastAsia="zh-CN"/>
        </w:rPr>
        <w:t xml:space="preserve">4</w:t>
      </w:r>
      <w:r>
        <w:rPr>
          <w:rFonts w:hint="eastAsia" w:ascii="宋体" w:hAnsi="宋体"/>
          <w:bCs/>
          <w:szCs w:val="21"/>
          <w:highlight w:val="none"/>
          <w:lang w:val="en-US" w:eastAsia="zh-CN"/>
        </w:rPr>
        <w:t xml:space="preserve">01</w:t>
      </w:r>
      <w:r>
        <w:rPr>
          <w:rFonts w:hint="eastAsia" w:ascii="宋体" w:hAnsi="宋体"/>
          <w:bCs/>
          <w:szCs w:val="21"/>
          <w:highlight w:val="none"/>
        </w:rPr>
        <w:t xml:space="preserve">室</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联系方式：0519-89580292</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3.项目联系方式</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项目联系人：巢卿、徐萍</w:t>
      </w:r>
      <w:r>
        <w:rPr>
          <w:rFonts w:hint="eastAsia" w:ascii="宋体" w:hAnsi="宋体"/>
          <w:bCs/>
          <w:szCs w:val="21"/>
          <w:highlight w:val="none"/>
        </w:rPr>
      </w:r>
      <w:r/>
    </w:p>
    <w:p>
      <w:pPr>
        <w:pStyle w:val="982"/>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电话：0519-89580292</w:t>
      </w:r>
      <w:r>
        <w:rPr>
          <w:rFonts w:hint="eastAsia" w:ascii="宋体" w:hAnsi="宋体"/>
          <w:bCs/>
          <w:szCs w:val="21"/>
          <w:highlight w:val="none"/>
        </w:rPr>
      </w:r>
      <w:r/>
    </w:p>
    <w:p>
      <w:pPr>
        <w:pStyle w:val="982"/>
        <w:ind w:right="240" w:firstLine="5880"/>
        <w:jc w:val="right"/>
        <w:spacing w:line="360" w:lineRule="auto"/>
        <w:rPr>
          <w:sz w:val="24"/>
          <w:highlight w:val="none"/>
        </w:rPr>
      </w:pPr>
      <w:r>
        <w:rPr>
          <w:sz w:val="24"/>
          <w:highlight w:val="none"/>
        </w:rPr>
      </w:r>
      <w:r/>
    </w:p>
    <w:p>
      <w:pPr>
        <w:pStyle w:val="982"/>
        <w:jc w:val="center"/>
        <w:spacing w:line="360" w:lineRule="auto"/>
        <w:rPr>
          <w:b/>
          <w:sz w:val="32"/>
          <w:szCs w:val="32"/>
          <w:highlight w:val="none"/>
        </w:rPr>
        <w:outlineLvl w:val="0"/>
      </w:pPr>
      <w:r>
        <w:rPr>
          <w:sz w:val="24"/>
          <w:highlight w:val="none"/>
        </w:rPr>
        <w:br w:type="page" w:clear="all"/>
      </w:r>
      <w:bookmarkStart w:id="16" w:name="_Toc127161488"/>
      <w:r/>
      <w:bookmarkStart w:id="17" w:name="_Toc353825548"/>
      <w:r/>
      <w:bookmarkStart w:id="18" w:name="_Toc265228423"/>
      <w:r/>
      <w:bookmarkStart w:id="19" w:name="_Toc353873938"/>
      <w:r/>
      <w:bookmarkStart w:id="20" w:name="_Toc512937850"/>
      <w:r/>
      <w:bookmarkStart w:id="21" w:name="_Toc305158928"/>
      <w:r/>
      <w:bookmarkStart w:id="22" w:name="_Toc127151777"/>
      <w:r/>
      <w:bookmarkStart w:id="23" w:name="_Toc195842950"/>
      <w:r/>
      <w:bookmarkStart w:id="24" w:name="_Toc150774783"/>
      <w:r/>
      <w:bookmarkStart w:id="25" w:name="_Toc264969275"/>
      <w:r/>
      <w:bookmarkStart w:id="26" w:name="_Toc226965856"/>
      <w:r/>
      <w:bookmarkStart w:id="27" w:name="_Toc104818926"/>
      <w:r/>
      <w:bookmarkStart w:id="28" w:name="_Toc305158854"/>
      <w:r>
        <w:rPr>
          <w:b/>
          <w:sz w:val="36"/>
          <w:szCs w:val="36"/>
          <w:highlight w:val="none"/>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highlight w:val="none"/>
        </w:rPr>
      </w:r>
      <w:r/>
    </w:p>
    <w:p>
      <w:pPr>
        <w:pStyle w:val="984"/>
        <w:spacing w:before="0" w:line="360" w:lineRule="auto"/>
        <w:tabs>
          <w:tab w:val="center" w:pos="4592" w:leader="none"/>
          <w:tab w:val="left" w:pos="7860" w:leader="none"/>
        </w:tabs>
        <w:rPr>
          <w:rFonts w:ascii="Times New Roman" w:hAnsi="Times New Roman" w:eastAsia="宋体"/>
          <w:b w:val="0"/>
          <w:sz w:val="28"/>
          <w:highlight w:val="none"/>
        </w:rPr>
      </w:pPr>
      <w:r/>
      <w:bookmarkStart w:id="29" w:name="_Toc151193907"/>
      <w:r/>
      <w:bookmarkStart w:id="30" w:name="_Toc127151720"/>
      <w:r/>
      <w:bookmarkStart w:id="31" w:name="_Toc149720812"/>
      <w:r/>
      <w:bookmarkStart w:id="32" w:name="_Toc150480757"/>
      <w:r/>
      <w:bookmarkStart w:id="33" w:name="_Toc164608788"/>
      <w:r/>
      <w:bookmarkStart w:id="34" w:name="_Toc151193617"/>
      <w:r/>
      <w:bookmarkStart w:id="35" w:name="_Toc164229360"/>
      <w:r/>
      <w:bookmarkStart w:id="36" w:name="_Toc226965792"/>
      <w:r/>
      <w:bookmarkStart w:id="37" w:name="_Toc164351613"/>
      <w:r/>
      <w:bookmarkStart w:id="38" w:name="_Toc164229214"/>
      <w:r/>
      <w:bookmarkStart w:id="39" w:name="_Toc226965709"/>
      <w:r/>
      <w:bookmarkStart w:id="40" w:name="_Toc151193689"/>
      <w:r/>
      <w:bookmarkStart w:id="41" w:name="_Toc195842884"/>
      <w:r/>
      <w:bookmarkStart w:id="42" w:name="_Toc150509270"/>
      <w:r/>
      <w:bookmarkStart w:id="43" w:name="_Toc151190146"/>
      <w:r/>
      <w:bookmarkStart w:id="44" w:name="_Toc150774619"/>
      <w:r/>
      <w:bookmarkStart w:id="45" w:name="_Toc226309763"/>
      <w:r/>
      <w:bookmarkStart w:id="46" w:name="_Toc150774724"/>
      <w:r/>
      <w:bookmarkStart w:id="47" w:name="_Toc127151519"/>
      <w:r/>
      <w:bookmarkStart w:id="48" w:name="_Toc226337215"/>
      <w:r/>
      <w:bookmarkStart w:id="49" w:name="_Toc164608633"/>
      <w:r/>
      <w:bookmarkStart w:id="50" w:name="_Toc142311021"/>
      <w:r/>
      <w:bookmarkStart w:id="51" w:name="_Toc151193833"/>
      <w:r/>
      <w:bookmarkStart w:id="52" w:name="_Toc151193761"/>
      <w:r/>
      <w:bookmarkStart w:id="53" w:name="_Toc127161433"/>
      <w:r/>
      <w:bookmarkStart w:id="54" w:name="_Toc520356144"/>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982"/>
        <w:jc w:val="center"/>
        <w:rPr>
          <w:b/>
          <w:sz w:val="28"/>
          <w:szCs w:val="28"/>
          <w:highlight w:val="none"/>
        </w:rPr>
      </w:pPr>
      <w:r>
        <w:rPr>
          <w:b/>
          <w:sz w:val="28"/>
          <w:szCs w:val="28"/>
          <w:highlight w:val="none"/>
        </w:rPr>
      </w:r>
      <w:r/>
    </w:p>
    <w:p>
      <w:pPr>
        <w:pStyle w:val="982"/>
        <w:ind w:firstLine="480"/>
        <w:spacing w:line="360" w:lineRule="auto"/>
        <w:rPr>
          <w:sz w:val="24"/>
          <w:highlight w:val="none"/>
        </w:rPr>
      </w:pPr>
      <w:r>
        <w:rPr>
          <w:sz w:val="24"/>
          <w:highlight w:val="none"/>
        </w:rPr>
        <w:t xml:space="preserve">本表是对供应商须知的具体补充和修改，如有矛盾，均以本资料表为准。标记“</w:t>
      </w:r>
      <w:r>
        <w:rPr>
          <w:b/>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82"/>
              <w:jc w:val="center"/>
              <w:rPr>
                <w:b/>
                <w:bCs/>
                <w:szCs w:val="21"/>
                <w:highlight w:val="none"/>
              </w:rPr>
            </w:pPr>
            <w:r>
              <w:rPr>
                <w:b/>
                <w:szCs w:val="21"/>
                <w:highlight w:val="none"/>
              </w:rPr>
              <w:t xml:space="preserve">条款号</w:t>
            </w:r>
            <w:r>
              <w:rPr>
                <w:b/>
                <w:bCs/>
                <w:szCs w:val="21"/>
                <w:highlight w:val="none"/>
              </w:rPr>
            </w:r>
            <w:r/>
          </w:p>
        </w:tc>
        <w:tc>
          <w:tcPr>
            <w:tcW w:w="1701" w:type="dxa"/>
            <w:vAlign w:val="center"/>
            <w:textDirection w:val="lrTb"/>
            <w:noWrap w:val="false"/>
          </w:tcPr>
          <w:p>
            <w:pPr>
              <w:pStyle w:val="982"/>
              <w:jc w:val="center"/>
              <w:rPr>
                <w:b/>
                <w:bCs/>
                <w:szCs w:val="21"/>
                <w:highlight w:val="none"/>
              </w:rPr>
            </w:pPr>
            <w:r>
              <w:rPr>
                <w:b/>
                <w:bCs/>
                <w:szCs w:val="21"/>
                <w:highlight w:val="none"/>
              </w:rPr>
              <w:t xml:space="preserve">条目</w:t>
            </w:r>
            <w:r>
              <w:rPr>
                <w:b/>
                <w:bCs/>
                <w:szCs w:val="21"/>
                <w:highlight w:val="none"/>
              </w:rPr>
            </w:r>
            <w:r/>
          </w:p>
        </w:tc>
        <w:tc>
          <w:tcPr>
            <w:tcW w:w="7253" w:type="dxa"/>
            <w:vAlign w:val="center"/>
            <w:textDirection w:val="lrTb"/>
            <w:noWrap w:val="false"/>
          </w:tcPr>
          <w:p>
            <w:pPr>
              <w:pStyle w:val="982"/>
              <w:jc w:val="center"/>
              <w:rPr>
                <w:b/>
                <w:bCs/>
                <w:szCs w:val="21"/>
                <w:highlight w:val="none"/>
              </w:rPr>
            </w:pPr>
            <w:r>
              <w:rPr>
                <w:b/>
                <w:bCs/>
                <w:szCs w:val="21"/>
                <w:highlight w:val="none"/>
              </w:rPr>
              <w:t xml:space="preserve">内容</w:t>
            </w:r>
            <w:r>
              <w:rPr>
                <w:b/>
                <w:bCs/>
                <w:szCs w:val="21"/>
                <w:highlight w:val="none"/>
              </w:rPr>
            </w:r>
            <w:r/>
          </w:p>
        </w:tc>
      </w:tr>
      <w:tr>
        <w:trPr>
          <w:trHeight w:val="2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2.2</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项目属性</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项目属性：</w:t>
            </w:r>
            <w:r>
              <w:rPr>
                <w:szCs w:val="21"/>
                <w:highlight w:val="none"/>
              </w:rPr>
            </w:r>
            <w:r/>
          </w:p>
          <w:p>
            <w:pPr>
              <w:pStyle w:val="982"/>
              <w:jc w:val="left"/>
              <w:rPr>
                <w:szCs w:val="21"/>
                <w:highlight w:val="none"/>
              </w:rPr>
            </w:pPr>
            <w:r>
              <w:rPr>
                <w:szCs w:val="21"/>
                <w:highlight w:val="none"/>
              </w:rPr>
              <w:t xml:space="preserve">□服务</w:t>
            </w:r>
            <w:r>
              <w:rPr>
                <w:szCs w:val="21"/>
                <w:highlight w:val="none"/>
              </w:rPr>
            </w:r>
            <w:r/>
          </w:p>
          <w:p>
            <w:pPr>
              <w:pStyle w:val="982"/>
              <w:jc w:val="left"/>
              <w:rPr>
                <w:szCs w:val="21"/>
                <w:highlight w:val="none"/>
              </w:rPr>
            </w:pPr>
            <w:r>
              <w:rPr>
                <w:szCs w:val="21"/>
                <w:highlight w:val="none"/>
              </w:rPr>
              <w:t xml:space="preserve">□货物</w:t>
            </w:r>
            <w:r>
              <w:rPr>
                <w:szCs w:val="21"/>
                <w:highlight w:val="none"/>
              </w:rPr>
            </w:r>
            <w:r/>
          </w:p>
          <w:p>
            <w:pPr>
              <w:pStyle w:val="982"/>
              <w:jc w:val="left"/>
              <w:rPr>
                <w:szCs w:val="21"/>
                <w:highlight w:val="none"/>
                <w:u w:val="single"/>
              </w:rPr>
            </w:pPr>
            <w:r>
              <w:rPr>
                <w:rFonts w:hint="eastAsia"/>
                <w:szCs w:val="21"/>
                <w:highlight w:val="none"/>
              </w:rPr>
              <w:t xml:space="preserve">■工程</w:t>
            </w:r>
            <w:r>
              <w:rPr>
                <w:szCs w:val="21"/>
                <w:highlight w:val="none"/>
                <w:u w:val="single"/>
              </w:rPr>
            </w:r>
            <w:r/>
          </w:p>
        </w:tc>
      </w:tr>
      <w:tr>
        <w:trPr>
          <w:trHeight w:val="2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2.3</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科研仪器设备</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是否属于科研仪器设备采购项目：</w:t>
            </w:r>
            <w:r>
              <w:rPr>
                <w:szCs w:val="21"/>
                <w:highlight w:val="none"/>
              </w:rPr>
            </w:r>
            <w:r/>
          </w:p>
          <w:p>
            <w:pPr>
              <w:pStyle w:val="982"/>
              <w:jc w:val="left"/>
              <w:rPr>
                <w:szCs w:val="21"/>
                <w:highlight w:val="none"/>
              </w:rPr>
            </w:pPr>
            <w:r>
              <w:rPr>
                <w:szCs w:val="21"/>
                <w:highlight w:val="none"/>
              </w:rPr>
              <w:t xml:space="preserve">□是</w:t>
            </w:r>
            <w:r>
              <w:rPr>
                <w:szCs w:val="21"/>
                <w:highlight w:val="none"/>
              </w:rPr>
            </w:r>
            <w:r/>
          </w:p>
          <w:p>
            <w:pPr>
              <w:pStyle w:val="982"/>
              <w:jc w:val="left"/>
              <w:rPr>
                <w:szCs w:val="21"/>
                <w:highlight w:val="none"/>
              </w:rPr>
            </w:pPr>
            <w:r>
              <w:rPr>
                <w:rFonts w:hint="eastAsia"/>
                <w:szCs w:val="21"/>
                <w:highlight w:val="none"/>
              </w:rPr>
              <w:t xml:space="preserve">■</w:t>
            </w:r>
            <w:r>
              <w:rPr>
                <w:szCs w:val="21"/>
                <w:highlight w:val="none"/>
              </w:rPr>
              <w:t xml:space="preserve">否</w:t>
            </w:r>
            <w:r>
              <w:rPr>
                <w:szCs w:val="21"/>
                <w:highlight w:val="none"/>
              </w:rPr>
            </w:r>
            <w:r/>
          </w:p>
        </w:tc>
      </w:tr>
      <w:tr>
        <w:trPr>
          <w:trHeight w:val="20"/>
        </w:trPr>
        <w:tc>
          <w:tcPr>
            <w:tcW w:w="988" w:type="dxa"/>
            <w:vAlign w:val="center"/>
            <w:vMerge w:val="restart"/>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3.1</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现场考察</w:t>
            </w:r>
            <w:r>
              <w:rPr>
                <w:szCs w:val="21"/>
                <w:highlight w:val="none"/>
              </w:rPr>
            </w:r>
            <w:r/>
          </w:p>
        </w:tc>
        <w:tc>
          <w:tcPr>
            <w:tcW w:w="7253" w:type="dxa"/>
            <w:vAlign w:val="center"/>
            <w:textDirection w:val="lrTb"/>
            <w:noWrap w:val="false"/>
          </w:tcPr>
          <w:p>
            <w:pPr>
              <w:pStyle w:val="982"/>
              <w:jc w:val="left"/>
              <w:rPr>
                <w:szCs w:val="21"/>
                <w:highlight w:val="none"/>
              </w:rPr>
            </w:pPr>
            <w:r>
              <w:rPr>
                <w:rFonts w:hint="eastAsia"/>
                <w:szCs w:val="21"/>
                <w:highlight w:val="none"/>
              </w:rPr>
              <w:t xml:space="preserve">■</w:t>
            </w:r>
            <w:r>
              <w:rPr>
                <w:szCs w:val="21"/>
                <w:highlight w:val="none"/>
              </w:rPr>
              <w:t xml:space="preserve">不组织</w:t>
            </w:r>
            <w:r>
              <w:rPr>
                <w:szCs w:val="21"/>
                <w:highlight w:val="none"/>
              </w:rPr>
            </w:r>
            <w:r/>
          </w:p>
          <w:p>
            <w:pPr>
              <w:pStyle w:val="982"/>
              <w:jc w:val="left"/>
              <w:rPr>
                <w:bCs/>
                <w:szCs w:val="21"/>
                <w:highlight w:val="none"/>
              </w:rPr>
            </w:pPr>
            <w:r>
              <w:rPr>
                <w:szCs w:val="21"/>
                <w:highlight w:val="none"/>
              </w:rPr>
              <w:t xml:space="preserve">□组织，考察时间：___</w:t>
            </w:r>
            <w:r>
              <w:rPr>
                <w:szCs w:val="21"/>
                <w:highlight w:val="none"/>
                <w:lang w:bidi="ar"/>
              </w:rPr>
              <w:t xml:space="preserve">年</w:t>
            </w:r>
            <w:r>
              <w:rPr>
                <w:szCs w:val="21"/>
                <w:highlight w:val="none"/>
              </w:rPr>
              <w:t xml:space="preserve">___</w:t>
            </w:r>
            <w:r>
              <w:rPr>
                <w:szCs w:val="21"/>
                <w:highlight w:val="none"/>
                <w:lang w:bidi="ar"/>
              </w:rPr>
              <w:t xml:space="preserve">月</w:t>
            </w:r>
            <w:r>
              <w:rPr>
                <w:szCs w:val="21"/>
                <w:highlight w:val="none"/>
              </w:rPr>
              <w:t xml:space="preserve">___</w:t>
            </w:r>
            <w:r>
              <w:rPr>
                <w:szCs w:val="21"/>
                <w:highlight w:val="none"/>
                <w:lang w:bidi="ar"/>
              </w:rPr>
              <w:t xml:space="preserve">日</w:t>
            </w:r>
            <w:r>
              <w:rPr>
                <w:szCs w:val="21"/>
                <w:highlight w:val="none"/>
              </w:rPr>
              <w:t xml:space="preserve">___</w:t>
            </w:r>
            <w:r>
              <w:rPr>
                <w:szCs w:val="21"/>
                <w:highlight w:val="none"/>
                <w:lang w:bidi="ar"/>
              </w:rPr>
              <w:t xml:space="preserve">点</w:t>
            </w:r>
            <w:r>
              <w:rPr>
                <w:szCs w:val="21"/>
                <w:highlight w:val="none"/>
              </w:rPr>
              <w:t xml:space="preserve">___</w:t>
            </w:r>
            <w:r>
              <w:rPr>
                <w:szCs w:val="21"/>
                <w:highlight w:val="none"/>
                <w:lang w:bidi="ar"/>
              </w:rPr>
              <w:t xml:space="preserve">分</w:t>
            </w:r>
            <w:r>
              <w:rPr>
                <w:bCs/>
                <w:szCs w:val="21"/>
                <w:highlight w:val="none"/>
              </w:rPr>
            </w:r>
            <w:r/>
          </w:p>
          <w:p>
            <w:pPr>
              <w:pStyle w:val="1021"/>
              <w:rPr>
                <w:rFonts w:ascii="Times New Roman" w:hAnsi="Times New Roman"/>
                <w:szCs w:val="21"/>
                <w:highlight w:val="none"/>
              </w:rPr>
            </w:pPr>
            <w:r>
              <w:rPr>
                <w:rFonts w:ascii="Times New Roman" w:hAnsi="Times New Roman"/>
                <w:szCs w:val="21"/>
                <w:highlight w:val="none"/>
              </w:rPr>
              <w:t xml:space="preserve">考察地点：___________</w:t>
            </w:r>
            <w:r>
              <w:rPr>
                <w:rFonts w:ascii="Times New Roman" w:hAnsi="Times New Roman"/>
                <w:szCs w:val="21"/>
                <w:highlight w:val="none"/>
              </w:rPr>
              <w:t xml:space="preserve">。</w:t>
            </w:r>
            <w:r>
              <w:rPr>
                <w:rFonts w:ascii="Times New Roman" w:hAnsi="Times New Roman"/>
                <w:szCs w:val="21"/>
                <w:highlight w:val="none"/>
              </w:rPr>
            </w:r>
            <w:r/>
          </w:p>
        </w:tc>
      </w:tr>
      <w:tr>
        <w:trPr>
          <w:trHeight w:val="20"/>
        </w:trPr>
        <w:tc>
          <w:tcPr>
            <w:tcW w:w="988" w:type="dxa"/>
            <w:vAlign w:val="center"/>
            <w:vMerge w:val="continue"/>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磋商前答疑会</w:t>
            </w:r>
            <w:r>
              <w:rPr>
                <w:szCs w:val="21"/>
                <w:highlight w:val="none"/>
              </w:rPr>
            </w:r>
            <w:r/>
          </w:p>
        </w:tc>
        <w:tc>
          <w:tcPr>
            <w:tcW w:w="7253" w:type="dxa"/>
            <w:vAlign w:val="center"/>
            <w:textDirection w:val="lrTb"/>
            <w:noWrap w:val="false"/>
          </w:tcPr>
          <w:p>
            <w:pPr>
              <w:pStyle w:val="982"/>
              <w:jc w:val="left"/>
              <w:rPr>
                <w:szCs w:val="21"/>
                <w:highlight w:val="none"/>
              </w:rPr>
            </w:pPr>
            <w:r>
              <w:rPr>
                <w:rFonts w:hint="eastAsia"/>
                <w:szCs w:val="21"/>
                <w:highlight w:val="none"/>
              </w:rPr>
              <w:t xml:space="preserve">■</w:t>
            </w:r>
            <w:r>
              <w:rPr>
                <w:szCs w:val="21"/>
                <w:highlight w:val="none"/>
              </w:rPr>
              <w:t xml:space="preserve">不召开</w:t>
            </w:r>
            <w:r>
              <w:rPr>
                <w:szCs w:val="21"/>
                <w:highlight w:val="none"/>
              </w:rPr>
            </w:r>
            <w:r/>
          </w:p>
          <w:p>
            <w:pPr>
              <w:pStyle w:val="982"/>
              <w:jc w:val="left"/>
              <w:rPr>
                <w:szCs w:val="21"/>
                <w:highlight w:val="none"/>
              </w:rPr>
            </w:pPr>
            <w:r>
              <w:rPr>
                <w:szCs w:val="21"/>
                <w:highlight w:val="none"/>
              </w:rPr>
              <w:t xml:space="preserve">□召开，召开时间：___</w:t>
            </w:r>
            <w:r>
              <w:rPr>
                <w:szCs w:val="21"/>
                <w:highlight w:val="none"/>
                <w:lang w:bidi="ar"/>
              </w:rPr>
              <w:t xml:space="preserve">年</w:t>
            </w:r>
            <w:r>
              <w:rPr>
                <w:szCs w:val="21"/>
                <w:highlight w:val="none"/>
              </w:rPr>
              <w:t xml:space="preserve">___</w:t>
            </w:r>
            <w:r>
              <w:rPr>
                <w:szCs w:val="21"/>
                <w:highlight w:val="none"/>
                <w:lang w:bidi="ar"/>
              </w:rPr>
              <w:t xml:space="preserve">月</w:t>
            </w:r>
            <w:r>
              <w:rPr>
                <w:szCs w:val="21"/>
                <w:highlight w:val="none"/>
              </w:rPr>
              <w:t xml:space="preserve">___</w:t>
            </w:r>
            <w:r>
              <w:rPr>
                <w:szCs w:val="21"/>
                <w:highlight w:val="none"/>
                <w:lang w:bidi="ar"/>
              </w:rPr>
              <w:t xml:space="preserve">日</w:t>
            </w:r>
            <w:r>
              <w:rPr>
                <w:szCs w:val="21"/>
                <w:highlight w:val="none"/>
              </w:rPr>
              <w:t xml:space="preserve">___</w:t>
            </w:r>
            <w:r>
              <w:rPr>
                <w:szCs w:val="21"/>
                <w:highlight w:val="none"/>
                <w:lang w:bidi="ar"/>
              </w:rPr>
              <w:t xml:space="preserve">点</w:t>
            </w:r>
            <w:r>
              <w:rPr>
                <w:szCs w:val="21"/>
                <w:highlight w:val="none"/>
              </w:rPr>
              <w:t xml:space="preserve">___</w:t>
            </w:r>
            <w:r>
              <w:rPr>
                <w:szCs w:val="21"/>
                <w:highlight w:val="none"/>
                <w:lang w:bidi="ar"/>
              </w:rPr>
              <w:t xml:space="preserve">分</w:t>
            </w:r>
            <w:r>
              <w:rPr>
                <w:szCs w:val="21"/>
                <w:highlight w:val="none"/>
              </w:rPr>
            </w:r>
            <w:r/>
          </w:p>
          <w:p>
            <w:pPr>
              <w:pStyle w:val="982"/>
              <w:jc w:val="left"/>
              <w:rPr>
                <w:szCs w:val="21"/>
                <w:highlight w:val="none"/>
              </w:rPr>
            </w:pPr>
            <w:r>
              <w:rPr>
                <w:szCs w:val="21"/>
                <w:highlight w:val="none"/>
              </w:rPr>
              <w:t xml:space="preserve">召开地点：___________</w:t>
            </w:r>
            <w:r>
              <w:rPr>
                <w:rFonts w:hint="eastAsia"/>
                <w:szCs w:val="21"/>
                <w:highlight w:val="none"/>
              </w:rPr>
              <w:t xml:space="preserve">。</w:t>
            </w:r>
            <w:r>
              <w:rPr>
                <w:szCs w:val="21"/>
                <w:highlight w:val="none"/>
              </w:rPr>
            </w:r>
            <w:r/>
          </w:p>
        </w:tc>
      </w:tr>
      <w:tr>
        <w:trPr>
          <w:trHeight w:val="505"/>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4.2.5</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标的所属行业</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本项目采购标的对应的中小企业划分标准所属行业：</w:t>
            </w:r>
            <w:r>
              <w:rPr>
                <w:rFonts w:hint="eastAsia"/>
                <w:szCs w:val="21"/>
                <w:highlight w:val="none"/>
                <w:u w:val="single"/>
              </w:rPr>
              <w:t xml:space="preserve">交通运输业</w:t>
            </w:r>
            <w:r>
              <w:rPr>
                <w:rFonts w:hint="eastAsia"/>
                <w:szCs w:val="21"/>
                <w:highlight w:val="none"/>
              </w:rPr>
              <w:t xml:space="preserve">。</w:t>
            </w:r>
            <w:r>
              <w:rPr>
                <w:szCs w:val="21"/>
                <w:highlight w:val="none"/>
              </w:rPr>
            </w:r>
            <w:r/>
          </w:p>
        </w:tc>
      </w:tr>
      <w:tr>
        <w:trPr>
          <w:trHeight w:val="89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10.2</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报价</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报价的特殊规定：</w:t>
            </w:r>
            <w:r>
              <w:rPr>
                <w:szCs w:val="21"/>
                <w:highlight w:val="none"/>
              </w:rPr>
            </w:r>
            <w:r/>
          </w:p>
          <w:p>
            <w:pPr>
              <w:pStyle w:val="982"/>
              <w:jc w:val="left"/>
              <w:rPr>
                <w:szCs w:val="21"/>
                <w:highlight w:val="none"/>
              </w:rPr>
            </w:pPr>
            <w:r>
              <w:rPr>
                <w:szCs w:val="21"/>
                <w:highlight w:val="none"/>
              </w:rPr>
              <w:t xml:space="preserve">□无</w:t>
            </w:r>
            <w:r>
              <w:rPr>
                <w:szCs w:val="21"/>
                <w:highlight w:val="none"/>
              </w:rPr>
            </w:r>
            <w:r/>
          </w:p>
          <w:p>
            <w:pPr>
              <w:pStyle w:val="982"/>
              <w:jc w:val="left"/>
              <w:rPr>
                <w:szCs w:val="21"/>
                <w:highlight w:val="none"/>
              </w:rPr>
            </w:pPr>
            <w:r>
              <w:rPr>
                <w:rFonts w:hint="eastAsia"/>
                <w:szCs w:val="21"/>
                <w:highlight w:val="none"/>
              </w:rPr>
              <w:t xml:space="preserve">■</w:t>
            </w:r>
            <w:r>
              <w:rPr>
                <w:szCs w:val="21"/>
                <w:highlight w:val="none"/>
              </w:rPr>
              <w:t xml:space="preserve">有，具体情形：</w:t>
            </w:r>
            <w:r>
              <w:rPr>
                <w:szCs w:val="21"/>
                <w:highlight w:val="none"/>
                <w:u w:val="single"/>
              </w:rPr>
              <w:t xml:space="preserve">详见</w:t>
            </w:r>
            <w:r>
              <w:rPr>
                <w:rFonts w:hint="eastAsia"/>
                <w:szCs w:val="21"/>
                <w:highlight w:val="none"/>
                <w:u w:val="single"/>
              </w:rPr>
              <w:t xml:space="preserve">清单报价</w:t>
            </w:r>
            <w:r>
              <w:rPr>
                <w:szCs w:val="21"/>
                <w:highlight w:val="none"/>
              </w:rPr>
              <w:t xml:space="preserve">。</w:t>
            </w:r>
            <w:r>
              <w:rPr>
                <w:szCs w:val="21"/>
                <w:highlight w:val="none"/>
              </w:rPr>
            </w:r>
            <w:r/>
          </w:p>
          <w:p>
            <w:pPr>
              <w:pStyle w:val="982"/>
              <w:jc w:val="left"/>
              <w:rPr>
                <w:rFonts w:hint="eastAsia"/>
                <w:szCs w:val="21"/>
                <w:highlight w:val="none"/>
              </w:rPr>
            </w:pPr>
            <w:r>
              <w:rPr>
                <w:rFonts w:hint="eastAsia"/>
                <w:szCs w:val="21"/>
                <w:highlight w:val="none"/>
              </w:rPr>
            </w:r>
            <w:r/>
          </w:p>
          <w:p>
            <w:pPr>
              <w:pStyle w:val="982"/>
              <w:jc w:val="left"/>
              <w:rPr>
                <w:rFonts w:hint="eastAsia" w:ascii="宋体" w:hAnsi="宋体"/>
                <w:szCs w:val="21"/>
                <w:highlight w:val="none"/>
              </w:rPr>
            </w:pPr>
            <w:r>
              <w:rPr>
                <w:rFonts w:hint="eastAsia"/>
                <w:szCs w:val="21"/>
                <w:highlight w:val="none"/>
              </w:rPr>
              <w:t xml:space="preserve">磋商报价次数：本项目采用二次报价，磋商响应文件报价一览表的报价作为首次报价，</w:t>
            </w:r>
            <w:r>
              <w:rPr>
                <w:rFonts w:hint="eastAsia" w:ascii="宋体" w:hAnsi="宋体"/>
                <w:szCs w:val="21"/>
                <w:highlight w:val="none"/>
              </w:rPr>
              <w:t xml:space="preserve">在磋商结束后，磋商小组应当要求所有实质性响应的供应商在规定时间内提交最后报价（仅填报总价），最后报价作为评分依据。</w:t>
            </w:r>
            <w:r>
              <w:rPr>
                <w:rFonts w:hint="eastAsia" w:ascii="宋体" w:hAnsi="宋体"/>
                <w:szCs w:val="21"/>
                <w:highlight w:val="none"/>
              </w:rPr>
            </w:r>
            <w:r/>
          </w:p>
          <w:p>
            <w:pPr>
              <w:pStyle w:val="982"/>
              <w:jc w:val="left"/>
              <w:rPr>
                <w:szCs w:val="21"/>
                <w:highlight w:val="none"/>
              </w:rPr>
            </w:pPr>
            <w:r>
              <w:rPr>
                <w:szCs w:val="21"/>
                <w:highlight w:val="none"/>
              </w:rPr>
            </w:r>
            <w:r/>
          </w:p>
          <w:p>
            <w:pPr>
              <w:pStyle w:val="982"/>
              <w:jc w:val="left"/>
              <w:rPr>
                <w:szCs w:val="21"/>
                <w:highlight w:val="none"/>
              </w:rPr>
            </w:pPr>
            <w:r>
              <w:rPr>
                <w:rFonts w:hint="eastAsia"/>
                <w:szCs w:val="21"/>
                <w:highlight w:val="none"/>
              </w:rPr>
              <w:t xml:space="preserve">成交单位应按照成交总价提供最终报价清单，</w:t>
            </w:r>
            <w:r>
              <w:rPr>
                <w:rFonts w:hint="eastAsia"/>
                <w:b/>
                <w:szCs w:val="21"/>
                <w:highlight w:val="none"/>
              </w:rPr>
              <w:t xml:space="preserve">该清单可竞争部分综合单价均不得超出对应首次报价清单中的综合单价。</w:t>
            </w:r>
            <w:r>
              <w:rPr>
                <w:szCs w:val="21"/>
                <w:highlight w:val="none"/>
              </w:rPr>
            </w:r>
            <w:r/>
          </w:p>
        </w:tc>
      </w:tr>
      <w:tr>
        <w:trPr>
          <w:trHeight w:val="454"/>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11.1</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磋商保证金</w:t>
            </w:r>
            <w:r>
              <w:rPr>
                <w:szCs w:val="21"/>
                <w:highlight w:val="none"/>
              </w:rPr>
            </w:r>
            <w:r/>
          </w:p>
        </w:tc>
        <w:tc>
          <w:tcPr>
            <w:tcW w:w="7253" w:type="dxa"/>
            <w:vAlign w:val="center"/>
            <w:textDirection w:val="lrTb"/>
            <w:noWrap w:val="false"/>
          </w:tcPr>
          <w:p>
            <w:pPr>
              <w:pStyle w:val="982"/>
              <w:jc w:val="left"/>
              <w:rPr>
                <w:szCs w:val="21"/>
                <w:highlight w:val="none"/>
              </w:rPr>
            </w:pPr>
            <w:r>
              <w:rPr>
                <w:rFonts w:hint="eastAsia"/>
                <w:szCs w:val="21"/>
                <w:highlight w:val="none"/>
              </w:rPr>
              <w:t xml:space="preserve">免收</w:t>
            </w:r>
            <w:r>
              <w:rPr>
                <w:szCs w:val="21"/>
                <w:highlight w:val="none"/>
              </w:rPr>
            </w:r>
            <w:r/>
          </w:p>
        </w:tc>
      </w:tr>
      <w:tr>
        <w:trPr>
          <w:trHeight w:val="454"/>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12.1</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响应有效期</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自提交响应文件的截止之日起算</w:t>
            </w:r>
            <w:r>
              <w:rPr>
                <w:rFonts w:hint="eastAsia"/>
                <w:szCs w:val="21"/>
                <w:highlight w:val="none"/>
                <w:u w:val="single"/>
              </w:rPr>
              <w:t xml:space="preserve"> 60 </w:t>
            </w:r>
            <w:r>
              <w:rPr>
                <w:szCs w:val="21"/>
                <w:highlight w:val="none"/>
              </w:rPr>
              <w:t xml:space="preserve">日历天。</w:t>
            </w:r>
            <w:r>
              <w:rPr>
                <w:szCs w:val="21"/>
                <w:highlight w:val="none"/>
              </w:rPr>
            </w:r>
            <w:r/>
          </w:p>
        </w:tc>
      </w:tr>
      <w:tr>
        <w:trPr>
          <w:trHeight w:val="2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23.5</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分包</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本项目是否允许分包：</w:t>
            </w:r>
            <w:r>
              <w:rPr>
                <w:szCs w:val="21"/>
                <w:highlight w:val="none"/>
              </w:rPr>
            </w:r>
            <w:r/>
          </w:p>
          <w:p>
            <w:pPr>
              <w:pStyle w:val="982"/>
              <w:jc w:val="left"/>
              <w:rPr>
                <w:szCs w:val="21"/>
                <w:highlight w:val="none"/>
              </w:rPr>
            </w:pPr>
            <w:r>
              <w:rPr>
                <w:rFonts w:hint="eastAsia"/>
                <w:szCs w:val="21"/>
                <w:highlight w:val="none"/>
              </w:rPr>
              <w:t xml:space="preserve">■</w:t>
            </w:r>
            <w:r>
              <w:rPr>
                <w:szCs w:val="21"/>
                <w:highlight w:val="none"/>
              </w:rPr>
              <w:t xml:space="preserve">不允许</w:t>
            </w:r>
            <w:r>
              <w:rPr>
                <w:szCs w:val="21"/>
                <w:highlight w:val="none"/>
              </w:rPr>
            </w:r>
            <w:r/>
          </w:p>
          <w:p>
            <w:pPr>
              <w:pStyle w:val="982"/>
              <w:jc w:val="left"/>
              <w:rPr>
                <w:szCs w:val="21"/>
                <w:highlight w:val="none"/>
              </w:rPr>
            </w:pPr>
            <w:r>
              <w:rPr>
                <w:szCs w:val="21"/>
                <w:highlight w:val="none"/>
              </w:rPr>
              <w:t xml:space="preserve">□允许，具体要求：_______。</w:t>
            </w:r>
            <w:r>
              <w:rPr>
                <w:szCs w:val="21"/>
                <w:highlight w:val="none"/>
              </w:rPr>
            </w:r>
            <w:r/>
          </w:p>
          <w:p>
            <w:pPr>
              <w:pStyle w:val="982"/>
              <w:jc w:val="left"/>
              <w:rPr>
                <w:szCs w:val="21"/>
                <w:highlight w:val="none"/>
              </w:rPr>
            </w:pPr>
            <w:r>
              <w:rPr>
                <w:szCs w:val="21"/>
                <w:highlight w:val="none"/>
              </w:rPr>
              <w:t xml:space="preserve">（1）可以分包履行的具体内容：_______；</w:t>
            </w:r>
            <w:r>
              <w:rPr>
                <w:szCs w:val="21"/>
                <w:highlight w:val="none"/>
              </w:rPr>
            </w:r>
            <w:r/>
          </w:p>
          <w:p>
            <w:pPr>
              <w:pStyle w:val="982"/>
              <w:jc w:val="left"/>
              <w:rPr>
                <w:szCs w:val="21"/>
                <w:highlight w:val="none"/>
              </w:rPr>
            </w:pPr>
            <w:r>
              <w:rPr>
                <w:szCs w:val="21"/>
                <w:highlight w:val="none"/>
              </w:rPr>
              <w:t xml:space="preserve">（2）允许分包的金额或者比例：_______；</w:t>
            </w:r>
            <w:r>
              <w:rPr>
                <w:szCs w:val="21"/>
                <w:highlight w:val="none"/>
              </w:rPr>
            </w:r>
            <w:r/>
          </w:p>
          <w:p>
            <w:pPr>
              <w:pStyle w:val="982"/>
              <w:jc w:val="left"/>
              <w:rPr>
                <w:szCs w:val="21"/>
                <w:highlight w:val="none"/>
                <w:u w:val="single"/>
              </w:rPr>
            </w:pPr>
            <w:r>
              <w:rPr>
                <w:szCs w:val="21"/>
                <w:highlight w:val="none"/>
              </w:rPr>
              <w:t xml:space="preserve">（3）其他要求：_______。</w:t>
            </w:r>
            <w:r>
              <w:rPr>
                <w:szCs w:val="21"/>
                <w:highlight w:val="none"/>
                <w:u w:val="single"/>
              </w:rPr>
            </w:r>
            <w:r/>
          </w:p>
        </w:tc>
      </w:tr>
      <w:tr>
        <w:trPr>
          <w:trHeight w:val="2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24.1.1</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询问</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询问送达形式：_______。</w:t>
            </w:r>
            <w:r>
              <w:rPr>
                <w:szCs w:val="21"/>
                <w:highlight w:val="none"/>
              </w:rPr>
            </w:r>
            <w:r/>
          </w:p>
        </w:tc>
      </w:tr>
      <w:tr>
        <w:trPr>
          <w:trHeight w:val="2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24.3</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联系方式</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接收询问和质疑的联系方式</w:t>
            </w:r>
            <w:r>
              <w:rPr>
                <w:szCs w:val="21"/>
                <w:highlight w:val="none"/>
              </w:rPr>
            </w:r>
            <w:r/>
          </w:p>
          <w:p>
            <w:pPr>
              <w:pStyle w:val="982"/>
              <w:jc w:val="left"/>
              <w:rPr>
                <w:szCs w:val="21"/>
                <w:highlight w:val="none"/>
              </w:rPr>
            </w:pPr>
            <w:r>
              <w:rPr>
                <w:szCs w:val="21"/>
                <w:highlight w:val="none"/>
              </w:rPr>
              <w:t xml:space="preserve">联系部门：</w:t>
            </w:r>
            <w:r>
              <w:rPr>
                <w:rFonts w:hint="eastAsia"/>
                <w:szCs w:val="21"/>
                <w:highlight w:val="none"/>
              </w:rPr>
              <w:t xml:space="preserve">常州市长润工程咨询有限公司</w:t>
            </w:r>
            <w:r>
              <w:rPr>
                <w:szCs w:val="21"/>
                <w:highlight w:val="none"/>
              </w:rPr>
              <w:t xml:space="preserve">；</w:t>
            </w:r>
            <w:r>
              <w:rPr>
                <w:szCs w:val="21"/>
                <w:highlight w:val="none"/>
              </w:rPr>
            </w:r>
            <w:r/>
          </w:p>
          <w:p>
            <w:pPr>
              <w:pStyle w:val="982"/>
              <w:jc w:val="left"/>
              <w:rPr>
                <w:szCs w:val="21"/>
                <w:highlight w:val="none"/>
              </w:rPr>
            </w:pPr>
            <w:r>
              <w:rPr>
                <w:szCs w:val="21"/>
                <w:highlight w:val="none"/>
              </w:rPr>
              <w:t xml:space="preserve">联系电话：</w:t>
            </w:r>
            <w:r>
              <w:rPr>
                <w:rFonts w:hint="eastAsia"/>
                <w:szCs w:val="21"/>
                <w:highlight w:val="none"/>
              </w:rPr>
              <w:t xml:space="preserve">0519-89580292</w:t>
            </w:r>
            <w:r>
              <w:rPr>
                <w:szCs w:val="21"/>
                <w:highlight w:val="none"/>
              </w:rPr>
              <w:t xml:space="preserve">；</w:t>
            </w:r>
            <w:r>
              <w:rPr>
                <w:szCs w:val="21"/>
                <w:highlight w:val="none"/>
              </w:rPr>
            </w:r>
            <w:r/>
          </w:p>
          <w:p>
            <w:pPr>
              <w:pStyle w:val="982"/>
              <w:jc w:val="left"/>
              <w:rPr>
                <w:szCs w:val="21"/>
                <w:highlight w:val="none"/>
              </w:rPr>
            </w:pPr>
            <w:r>
              <w:rPr>
                <w:szCs w:val="21"/>
                <w:highlight w:val="none"/>
              </w:rPr>
              <w:t xml:space="preserve">通讯地址：</w:t>
            </w:r>
            <w:r>
              <w:rPr>
                <w:rFonts w:hint="eastAsia"/>
                <w:szCs w:val="21"/>
                <w:highlight w:val="none"/>
              </w:rPr>
              <w:t xml:space="preserve">常州市新北区太湖中路19号</w:t>
            </w:r>
            <w:r>
              <w:rPr>
                <w:rFonts w:hint="eastAsia"/>
                <w:szCs w:val="21"/>
                <w:highlight w:val="none"/>
                <w:lang w:val="en-US" w:eastAsia="zh-CN"/>
              </w:rPr>
              <w:t xml:space="preserve">401</w:t>
            </w:r>
            <w:r>
              <w:rPr>
                <w:rFonts w:hint="eastAsia"/>
                <w:szCs w:val="21"/>
                <w:highlight w:val="none"/>
              </w:rPr>
              <w:t xml:space="preserve">室</w:t>
            </w:r>
            <w:r>
              <w:rPr>
                <w:szCs w:val="21"/>
                <w:highlight w:val="none"/>
              </w:rPr>
              <w:t xml:space="preserve">。</w:t>
            </w:r>
            <w:r>
              <w:rPr>
                <w:szCs w:val="21"/>
                <w:highlight w:val="none"/>
              </w:rPr>
            </w:r>
            <w:r/>
          </w:p>
        </w:tc>
      </w:tr>
      <w:tr>
        <w:trPr>
          <w:trHeight w:val="20"/>
        </w:trPr>
        <w:tc>
          <w:tcPr>
            <w:tcW w:w="988" w:type="dxa"/>
            <w:vAlign w:val="center"/>
            <w:textDirection w:val="lrTb"/>
            <w:noWrap w:val="false"/>
          </w:tcPr>
          <w:p>
            <w:pPr>
              <w:pStyle w:val="1021"/>
              <w:jc w:val="center"/>
              <w:rPr>
                <w:rFonts w:ascii="Times New Roman" w:hAnsi="Times New Roman"/>
                <w:szCs w:val="21"/>
                <w:highlight w:val="none"/>
              </w:rPr>
            </w:pPr>
            <w:r>
              <w:rPr>
                <w:rFonts w:ascii="Times New Roman" w:hAnsi="Times New Roman"/>
                <w:szCs w:val="21"/>
                <w:highlight w:val="none"/>
              </w:rPr>
              <w:t xml:space="preserve">25</w:t>
            </w:r>
            <w:r>
              <w:rPr>
                <w:rFonts w:ascii="Times New Roman" w:hAnsi="Times New Roman"/>
                <w:szCs w:val="21"/>
                <w:highlight w:val="none"/>
              </w:rPr>
            </w:r>
            <w:r/>
          </w:p>
        </w:tc>
        <w:tc>
          <w:tcPr>
            <w:tcW w:w="1701" w:type="dxa"/>
            <w:vAlign w:val="center"/>
            <w:textDirection w:val="lrTb"/>
            <w:noWrap w:val="false"/>
          </w:tcPr>
          <w:p>
            <w:pPr>
              <w:pStyle w:val="982"/>
              <w:jc w:val="center"/>
              <w:rPr>
                <w:szCs w:val="21"/>
                <w:highlight w:val="none"/>
              </w:rPr>
            </w:pPr>
            <w:r>
              <w:rPr>
                <w:szCs w:val="21"/>
                <w:highlight w:val="none"/>
              </w:rPr>
              <w:t xml:space="preserve">代理费</w:t>
            </w:r>
            <w:r>
              <w:rPr>
                <w:szCs w:val="21"/>
                <w:highlight w:val="none"/>
              </w:rPr>
            </w:r>
            <w:r/>
          </w:p>
        </w:tc>
        <w:tc>
          <w:tcPr>
            <w:tcW w:w="7253" w:type="dxa"/>
            <w:vAlign w:val="center"/>
            <w:textDirection w:val="lrTb"/>
            <w:noWrap w:val="false"/>
          </w:tcPr>
          <w:p>
            <w:pPr>
              <w:pStyle w:val="982"/>
              <w:jc w:val="left"/>
              <w:rPr>
                <w:szCs w:val="21"/>
                <w:highlight w:val="none"/>
              </w:rPr>
            </w:pPr>
            <w:r>
              <w:rPr>
                <w:szCs w:val="21"/>
                <w:highlight w:val="none"/>
              </w:rPr>
              <w:t xml:space="preserve">收费对象：</w:t>
            </w:r>
            <w:r>
              <w:rPr>
                <w:szCs w:val="21"/>
                <w:highlight w:val="none"/>
              </w:rPr>
            </w:r>
            <w:r/>
          </w:p>
          <w:p>
            <w:pPr>
              <w:pStyle w:val="982"/>
              <w:jc w:val="left"/>
              <w:rPr>
                <w:szCs w:val="21"/>
                <w:highlight w:val="none"/>
              </w:rPr>
            </w:pPr>
            <w:r>
              <w:rPr>
                <w:rFonts w:hint="eastAsia"/>
                <w:szCs w:val="21"/>
                <w:highlight w:val="none"/>
              </w:rPr>
              <w:t xml:space="preserve">□</w:t>
            </w:r>
            <w:r>
              <w:rPr>
                <w:szCs w:val="21"/>
                <w:highlight w:val="none"/>
              </w:rPr>
              <w:t xml:space="preserve">采购人</w:t>
            </w:r>
            <w:r>
              <w:rPr>
                <w:szCs w:val="21"/>
                <w:highlight w:val="none"/>
              </w:rPr>
            </w:r>
            <w:r/>
          </w:p>
          <w:p>
            <w:pPr>
              <w:pStyle w:val="982"/>
              <w:jc w:val="left"/>
              <w:rPr>
                <w:szCs w:val="21"/>
                <w:highlight w:val="none"/>
              </w:rPr>
            </w:pPr>
            <w:r>
              <w:rPr>
                <w:rFonts w:hint="eastAsia"/>
                <w:szCs w:val="21"/>
                <w:highlight w:val="none"/>
              </w:rPr>
              <w:t xml:space="preserve">■</w:t>
            </w:r>
            <w:r>
              <w:rPr>
                <w:szCs w:val="21"/>
                <w:highlight w:val="none"/>
              </w:rPr>
              <w:t xml:space="preserve">成交供应商</w:t>
            </w:r>
            <w:r>
              <w:rPr>
                <w:szCs w:val="21"/>
                <w:highlight w:val="none"/>
              </w:rPr>
            </w:r>
            <w:r/>
          </w:p>
          <w:p>
            <w:pPr>
              <w:pStyle w:val="982"/>
              <w:jc w:val="left"/>
              <w:rPr>
                <w:szCs w:val="21"/>
                <w:highlight w:val="none"/>
              </w:rPr>
            </w:pPr>
            <w:r>
              <w:rPr>
                <w:szCs w:val="21"/>
                <w:highlight w:val="none"/>
              </w:rPr>
              <w:t xml:space="preserve">收费标准：</w:t>
            </w:r>
            <w:r>
              <w:rPr>
                <w:rFonts w:hint="eastAsia"/>
                <w:szCs w:val="21"/>
                <w:highlight w:val="none"/>
              </w:rPr>
              <w:t xml:space="preserve">根据“苏招协[2022]002号”收费标准：计算基数为中标金额，50万元以下（含50万元）：1万元；50万元-400万元（含400万元）：1.5%。按差额定率分档累进法计算的金额×60%计取（中标价≤30万元的，代理费按3000元计取）。中标人在收到中标通知书后向招标代理机构一次性支付。代理机构将提供增值税发票。</w:t>
            </w:r>
            <w:r>
              <w:rPr>
                <w:szCs w:val="21"/>
                <w:highlight w:val="none"/>
              </w:rPr>
            </w:r>
            <w:r/>
          </w:p>
          <w:p>
            <w:pPr>
              <w:pStyle w:val="982"/>
              <w:jc w:val="left"/>
              <w:rPr>
                <w:szCs w:val="21"/>
                <w:highlight w:val="none"/>
              </w:rPr>
            </w:pPr>
            <w:r>
              <w:rPr>
                <w:rFonts w:hint="eastAsia"/>
                <w:szCs w:val="21"/>
                <w:highlight w:val="none"/>
              </w:rPr>
              <w:t xml:space="preserve">采购代理机构帐户：</w:t>
            </w:r>
            <w:r>
              <w:rPr>
                <w:szCs w:val="21"/>
                <w:highlight w:val="none"/>
              </w:rPr>
            </w:r>
            <w:r/>
          </w:p>
          <w:p>
            <w:pPr>
              <w:pStyle w:val="982"/>
              <w:jc w:val="left"/>
              <w:rPr>
                <w:szCs w:val="21"/>
                <w:highlight w:val="none"/>
              </w:rPr>
            </w:pPr>
            <w:r>
              <w:rPr>
                <w:rFonts w:hint="eastAsia"/>
                <w:szCs w:val="21"/>
                <w:highlight w:val="none"/>
              </w:rPr>
              <w:t xml:space="preserve">收款单位：常州市长润工程咨询有限公司</w:t>
            </w:r>
            <w:r>
              <w:rPr>
                <w:szCs w:val="21"/>
                <w:highlight w:val="none"/>
              </w:rPr>
            </w:r>
            <w:r/>
          </w:p>
          <w:p>
            <w:pPr>
              <w:pStyle w:val="982"/>
              <w:jc w:val="left"/>
              <w:rPr>
                <w:szCs w:val="21"/>
                <w:highlight w:val="none"/>
              </w:rPr>
            </w:pPr>
            <w:r>
              <w:rPr>
                <w:rFonts w:hint="eastAsia"/>
                <w:szCs w:val="21"/>
                <w:highlight w:val="none"/>
              </w:rPr>
              <w:t xml:space="preserve">开户银行：兴业银行常州分行营业部</w:t>
            </w:r>
            <w:r>
              <w:rPr>
                <w:szCs w:val="21"/>
                <w:highlight w:val="none"/>
              </w:rPr>
            </w:r>
            <w:r/>
          </w:p>
          <w:p>
            <w:pPr>
              <w:pStyle w:val="982"/>
              <w:jc w:val="left"/>
              <w:rPr>
                <w:szCs w:val="21"/>
                <w:highlight w:val="none"/>
              </w:rPr>
            </w:pPr>
            <w:r>
              <w:rPr>
                <w:rFonts w:hint="eastAsia"/>
                <w:szCs w:val="21"/>
                <w:highlight w:val="none"/>
              </w:rPr>
              <w:t xml:space="preserve">银行账号：</w:t>
            </w:r>
            <w:r>
              <w:rPr>
                <w:szCs w:val="21"/>
                <w:highlight w:val="none"/>
              </w:rPr>
              <w:t xml:space="preserve">4060 1010 0100 7947 45</w:t>
            </w:r>
            <w:r>
              <w:rPr>
                <w:szCs w:val="21"/>
                <w:highlight w:val="none"/>
              </w:rPr>
            </w:r>
            <w:r/>
          </w:p>
        </w:tc>
      </w:tr>
    </w:tbl>
    <w:p>
      <w:pPr>
        <w:pStyle w:val="982"/>
        <w:jc w:val="both"/>
        <w:spacing w:line="360" w:lineRule="auto"/>
        <w:tabs>
          <w:tab w:val="left" w:pos="5580" w:leader="none"/>
        </w:tabs>
        <w:rPr>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pStyle w:val="982"/>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984"/>
        <w:jc w:val="left"/>
        <w:spacing w:before="0" w:line="360" w:lineRule="auto"/>
        <w:tabs>
          <w:tab w:val="center" w:pos="4592" w:leader="none"/>
          <w:tab w:val="left" w:pos="7860" w:leader="none"/>
        </w:tabs>
        <w:rPr>
          <w:rFonts w:ascii="Times New Roman" w:hAnsi="Times New Roman" w:eastAsia="宋体"/>
          <w:sz w:val="21"/>
          <w:szCs w:val="21"/>
          <w:highlight w:val="none"/>
        </w:rPr>
      </w:pPr>
      <w:r/>
      <w:bookmarkStart w:id="55" w:name="_Toc520356143"/>
      <w:r/>
      <w:bookmarkStart w:id="56" w:name="_Toc127151518"/>
      <w:r>
        <w:rPr>
          <w:rFonts w:ascii="Times New Roman" w:hAnsi="Times New Roman" w:eastAsia="宋体"/>
          <w:sz w:val="21"/>
          <w:szCs w:val="21"/>
          <w:highlight w:val="none"/>
        </w:rPr>
        <w:tab/>
      </w:r>
      <w:bookmarkStart w:id="57" w:name="_Toc150480756"/>
      <w:r/>
      <w:bookmarkStart w:id="58" w:name="_Toc142311020"/>
      <w:r/>
      <w:bookmarkStart w:id="59" w:name="_Toc150509269"/>
      <w:r/>
      <w:bookmarkStart w:id="60" w:name="_Toc305158860"/>
      <w:r/>
      <w:bookmarkStart w:id="61" w:name="_Toc226337214"/>
      <w:r/>
      <w:bookmarkStart w:id="62" w:name="_Toc195842883"/>
      <w:r/>
      <w:bookmarkStart w:id="63" w:name="_Toc264969208"/>
      <w:r/>
      <w:bookmarkStart w:id="64" w:name="_Toc151193832"/>
      <w:r/>
      <w:bookmarkStart w:id="65" w:name="_Toc151193688"/>
      <w:r/>
      <w:bookmarkStart w:id="66" w:name="_Toc151193616"/>
      <w:r/>
      <w:bookmarkStart w:id="67" w:name="_Toc150774618"/>
      <w:r/>
      <w:bookmarkStart w:id="68" w:name="_Toc305158786"/>
      <w:r/>
      <w:bookmarkStart w:id="69" w:name="_Toc226965791"/>
      <w:r/>
      <w:bookmarkStart w:id="70" w:name="_Toc226309762"/>
      <w:r/>
      <w:bookmarkStart w:id="71" w:name="_Toc151193760"/>
      <w:r/>
      <w:bookmarkStart w:id="72" w:name="_Toc265228356"/>
      <w:r/>
      <w:bookmarkStart w:id="73" w:name="_Toc151193906"/>
      <w:r/>
      <w:bookmarkStart w:id="74" w:name="_Toc151190145"/>
      <w:r/>
      <w:bookmarkStart w:id="75" w:name="_Toc150774723"/>
      <w:r/>
      <w:bookmarkStart w:id="76" w:name="_Toc226965708"/>
      <w:r>
        <w:rPr>
          <w:rFonts w:ascii="Times New Roman" w:hAnsi="Times New Roman" w:eastAsia="宋体"/>
          <w:sz w:val="21"/>
          <w:szCs w:val="21"/>
          <w:highlight w:val="none"/>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highlight w:val="none"/>
        </w:rPr>
      </w:r>
      <w:r/>
    </w:p>
    <w:p>
      <w:pPr>
        <w:pStyle w:val="982"/>
        <w:numPr>
          <w:ilvl w:val="0"/>
          <w:numId w:val="1"/>
        </w:numPr>
        <w:ind w:left="357" w:hanging="357"/>
        <w:spacing w:line="360" w:lineRule="auto"/>
        <w:tabs>
          <w:tab w:val="left" w:pos="360" w:leader="none"/>
        </w:tabs>
        <w:rPr>
          <w:szCs w:val="21"/>
          <w:highlight w:val="none"/>
        </w:rPr>
        <w:outlineLvl w:val="1"/>
      </w:pPr>
      <w:r/>
      <w:bookmarkStart w:id="77" w:name="_Toc265228357"/>
      <w:r/>
      <w:bookmarkStart w:id="78" w:name="_Toc305158787"/>
      <w:r/>
      <w:bookmarkStart w:id="79" w:name="_Toc305158861"/>
      <w:r/>
      <w:bookmarkStart w:id="80" w:name="_Toc264969209"/>
      <w:r>
        <w:rPr>
          <w:szCs w:val="21"/>
          <w:highlight w:val="none"/>
        </w:rPr>
        <w:t xml:space="preserve">采购人、采购代理机构、供应商</w:t>
      </w:r>
      <w:bookmarkEnd w:id="77"/>
      <w:r/>
      <w:bookmarkEnd w:id="78"/>
      <w:r/>
      <w:bookmarkEnd w:id="79"/>
      <w:r/>
      <w:bookmarkEnd w:id="80"/>
      <w:r>
        <w:rPr>
          <w:szCs w:val="21"/>
          <w:highlight w:val="none"/>
        </w:rPr>
        <w:t xml:space="preserve">、联合体</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 w:val="left" w:pos="5521" w:leader="none"/>
        </w:tabs>
        <w:rPr>
          <w:szCs w:val="21"/>
          <w:highlight w:val="none"/>
        </w:rPr>
      </w:pPr>
      <w:r>
        <w:rPr>
          <w:szCs w:val="21"/>
          <w:highlight w:val="none"/>
        </w:rPr>
        <w:t xml:space="preserve">采购人、采购代理机构：指依法进行政府采购的国家机关、事业单位、团体组织，及其委托的采购代理机构。本项目采购人、采购代理机构见第一章《采购邀请》。</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 w:val="left" w:pos="5521" w:leader="none"/>
        </w:tabs>
        <w:rPr>
          <w:szCs w:val="21"/>
          <w:highlight w:val="none"/>
        </w:rPr>
      </w:pPr>
      <w:r>
        <w:rPr>
          <w:szCs w:val="21"/>
          <w:highlight w:val="none"/>
        </w:rPr>
        <w:t xml:space="preserve">供应商（也称“申请人”）：指向采购人提供货物、工程或者服务的法人、其他组织或者自然人。</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 w:val="left" w:pos="5521" w:leader="none"/>
        </w:tabs>
        <w:rPr>
          <w:szCs w:val="21"/>
          <w:highlight w:val="none"/>
        </w:rPr>
      </w:pPr>
      <w:r>
        <w:rPr>
          <w:szCs w:val="21"/>
          <w:highlight w:val="none"/>
        </w:rPr>
        <w:t xml:space="preserve">联合体：指两个以上的自然人、法人或者其他组织组成一个联合体，以一个供应商的身份共同参加政府采购。</w:t>
      </w:r>
      <w:r>
        <w:rPr>
          <w:szCs w:val="21"/>
          <w:highlight w:val="none"/>
        </w:rPr>
      </w:r>
      <w:r/>
    </w:p>
    <w:p>
      <w:pPr>
        <w:pStyle w:val="982"/>
        <w:numPr>
          <w:ilvl w:val="0"/>
          <w:numId w:val="1"/>
        </w:numPr>
        <w:ind w:left="357" w:hanging="357"/>
        <w:spacing w:line="360" w:lineRule="auto"/>
        <w:tabs>
          <w:tab w:val="left" w:pos="360" w:leader="none"/>
        </w:tabs>
        <w:rPr>
          <w:szCs w:val="21"/>
          <w:highlight w:val="none"/>
        </w:rPr>
        <w:outlineLvl w:val="1"/>
      </w:pPr>
      <w:r/>
      <w:bookmarkStart w:id="81" w:name="_Toc142311022"/>
      <w:r/>
      <w:bookmarkStart w:id="82" w:name="_Toc151193834"/>
      <w:r/>
      <w:bookmarkStart w:id="83" w:name="_Toc305158862"/>
      <w:r/>
      <w:bookmarkStart w:id="84" w:name="_Toc151193762"/>
      <w:r/>
      <w:bookmarkStart w:id="85" w:name="_Toc149720813"/>
      <w:r/>
      <w:bookmarkStart w:id="86" w:name="_Toc226337216"/>
      <w:r/>
      <w:bookmarkStart w:id="87" w:name="_Toc164229361"/>
      <w:r/>
      <w:bookmarkStart w:id="88" w:name="_Toc127151520"/>
      <w:r/>
      <w:bookmarkStart w:id="89" w:name="_Toc305158788"/>
      <w:r/>
      <w:bookmarkStart w:id="90" w:name="_Toc151193618"/>
      <w:r/>
      <w:bookmarkStart w:id="91" w:name="_Toc150774725"/>
      <w:r/>
      <w:bookmarkStart w:id="92" w:name="_Toc226965793"/>
      <w:r/>
      <w:bookmarkStart w:id="93" w:name="_Toc151193908"/>
      <w:r/>
      <w:bookmarkStart w:id="94" w:name="_Toc150774620"/>
      <w:r/>
      <w:bookmarkStart w:id="95" w:name="_Toc226965710"/>
      <w:r/>
      <w:bookmarkStart w:id="96" w:name="_Toc265228358"/>
      <w:r/>
      <w:bookmarkStart w:id="97" w:name="_Toc151193690"/>
      <w:r/>
      <w:bookmarkStart w:id="98" w:name="_Toc164351614"/>
      <w:r/>
      <w:bookmarkStart w:id="99" w:name="_Toc150480758"/>
      <w:r/>
      <w:bookmarkStart w:id="100" w:name="_Toc151190147"/>
      <w:r/>
      <w:bookmarkStart w:id="101" w:name="_Toc164608634"/>
      <w:r/>
      <w:bookmarkStart w:id="102" w:name="_Toc264969210"/>
      <w:r/>
      <w:bookmarkStart w:id="103" w:name="_Toc127161434"/>
      <w:r/>
      <w:bookmarkStart w:id="104" w:name="_Toc127151721"/>
      <w:r/>
      <w:bookmarkStart w:id="105" w:name="_Toc226309764"/>
      <w:r/>
      <w:bookmarkStart w:id="106" w:name="_Toc150509271"/>
      <w:r/>
      <w:bookmarkStart w:id="107" w:name="_Toc164608789"/>
      <w:r/>
      <w:bookmarkStart w:id="108" w:name="_Toc164229215"/>
      <w:r/>
      <w:bookmarkStart w:id="109" w:name="_Toc195842885"/>
      <w:r>
        <w:rPr>
          <w:szCs w:val="21"/>
          <w:highlight w:val="none"/>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highlight w:val="none"/>
        </w:rPr>
        <w:t xml:space="preserve">、项目属性、科研仪器设备采购</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资金来源为财政性资金和/或本项目采购中无法与财政性资金分割的非财政性资金。</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项目属性见《供应商须知资料表》。</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是否属于科研仪器设备采购见《供应商须知资料表》。</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现场考察、磋商前答疑会</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若《供应商须知资料表》中规定了组织现场考察、召开磋商前答疑会，则供应商应按要求在规定的时间和地点参加。</w:t>
      </w:r>
      <w:bookmarkStart w:id="110" w:name="_Toc150774622"/>
      <w:r/>
      <w:bookmarkStart w:id="111" w:name="_Toc226337218"/>
      <w:r/>
      <w:bookmarkStart w:id="112" w:name="_Toc226965712"/>
      <w:r/>
      <w:bookmarkStart w:id="113" w:name="_Toc226309766"/>
      <w:r/>
      <w:bookmarkStart w:id="114" w:name="_Toc305158864"/>
      <w:r/>
      <w:bookmarkStart w:id="115" w:name="_Toc520356146"/>
      <w:r/>
      <w:bookmarkStart w:id="116" w:name="_Toc195842887"/>
      <w:r/>
      <w:bookmarkStart w:id="117" w:name="_Toc151193620"/>
      <w:r/>
      <w:bookmarkStart w:id="118" w:name="_Toc265228360"/>
      <w:r/>
      <w:bookmarkStart w:id="119" w:name="_Toc142311024"/>
      <w:r/>
      <w:bookmarkStart w:id="120" w:name="_Toc127151522"/>
      <w:r/>
      <w:bookmarkStart w:id="121" w:name="_Toc264969212"/>
      <w:r/>
      <w:bookmarkStart w:id="122" w:name="_Toc150480760"/>
      <w:r/>
      <w:bookmarkStart w:id="123" w:name="_Toc305158790"/>
      <w:r/>
      <w:bookmarkStart w:id="124" w:name="_Toc151193692"/>
      <w:r/>
      <w:bookmarkStart w:id="125" w:name="_Toc151193910"/>
      <w:r/>
      <w:bookmarkStart w:id="126" w:name="_Toc150509273"/>
      <w:r/>
      <w:bookmarkStart w:id="127" w:name="_Toc226965795"/>
      <w:r/>
      <w:bookmarkStart w:id="128" w:name="_Toc151190149"/>
      <w:r/>
      <w:bookmarkStart w:id="129" w:name="_Toc151193836"/>
      <w:r/>
      <w:bookmarkStart w:id="130" w:name="_Toc150774727"/>
      <w:r/>
      <w:bookmarkStart w:id="131" w:name="_Toc151193764"/>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由于未参加现场考察或磋商前答疑会而导致对项目实际情况不了解，影响响应文件编制、报价准确性、综合因素响应不全面等问题的，由供应商自行承担不利评审后果。</w:t>
      </w:r>
      <w:r>
        <w:rPr>
          <w:szCs w:val="21"/>
          <w:highlight w:val="none"/>
        </w:rPr>
      </w:r>
      <w:r/>
    </w:p>
    <w:p>
      <w:pPr>
        <w:pStyle w:val="982"/>
        <w:numPr>
          <w:ilvl w:val="0"/>
          <w:numId w:val="1"/>
        </w:numPr>
        <w:ind w:left="357" w:hanging="357"/>
        <w:spacing w:line="360" w:lineRule="auto"/>
        <w:tabs>
          <w:tab w:val="left" w:pos="360" w:leader="none"/>
        </w:tabs>
        <w:rPr>
          <w:szCs w:val="21"/>
          <w:highlight w:val="none"/>
        </w:rPr>
        <w:outlineLvl w:val="1"/>
      </w:pPr>
      <w:r>
        <w:rPr>
          <w:szCs w:val="21"/>
          <w:highlight w:val="none"/>
        </w:rPr>
        <w:t xml:space="preserve">政府采购政策（包括但不限于下列具体政策要求）</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进口产品</w:t>
      </w:r>
      <w:r>
        <w:rPr>
          <w:szCs w:val="21"/>
          <w:highlight w:val="none"/>
        </w:rPr>
      </w:r>
      <w:r/>
    </w:p>
    <w:p>
      <w:pPr>
        <w:pStyle w:val="982"/>
        <w:numPr>
          <w:ilvl w:val="2"/>
          <w:numId w:val="1"/>
        </w:numPr>
        <w:spacing w:line="360" w:lineRule="auto"/>
        <w:tabs>
          <w:tab w:val="left" w:pos="1980" w:leader="none"/>
          <w:tab w:val="left" w:pos="2014" w:leader="none"/>
        </w:tabs>
        <w:rPr>
          <w:szCs w:val="21"/>
          <w:highlight w:val="none"/>
        </w:rPr>
      </w:pPr>
      <w:r>
        <w:rPr>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中小企业、监狱企业及残疾人福利性单位</w:t>
      </w:r>
      <w:r>
        <w:rPr>
          <w:szCs w:val="21"/>
          <w:highlight w:val="none"/>
        </w:rPr>
      </w:r>
      <w:r/>
    </w:p>
    <w:p>
      <w:pPr>
        <w:pStyle w:val="982"/>
        <w:numPr>
          <w:ilvl w:val="2"/>
          <w:numId w:val="1"/>
        </w:numPr>
        <w:spacing w:line="360" w:lineRule="auto"/>
        <w:tabs>
          <w:tab w:val="left" w:pos="1980" w:leader="none"/>
        </w:tabs>
        <w:rPr>
          <w:rFonts w:hint="eastAsia"/>
          <w:szCs w:val="21"/>
          <w:highlight w:val="none"/>
        </w:rPr>
      </w:pPr>
      <w:r>
        <w:rPr>
          <w:szCs w:val="21"/>
          <w:highlight w:val="none"/>
        </w:rPr>
        <w:t xml:space="preserve">中小企业定义：</w:t>
      </w:r>
      <w:r>
        <w:rPr>
          <w:rFonts w:hint="eastAsia"/>
          <w:szCs w:val="21"/>
          <w:highlight w:val="none"/>
        </w:rPr>
      </w:r>
      <w:r/>
    </w:p>
    <w:p>
      <w:pPr>
        <w:pStyle w:val="982"/>
        <w:numPr>
          <w:ilvl w:val="3"/>
          <w:numId w:val="1"/>
        </w:numPr>
        <w:ind w:left="2835" w:hanging="850"/>
        <w:spacing w:line="360" w:lineRule="auto"/>
        <w:tabs>
          <w:tab w:val="left" w:pos="1985" w:leader="none"/>
        </w:tabs>
        <w:rPr>
          <w:rFonts w:hint="eastAsia"/>
          <w:szCs w:val="21"/>
          <w:highlight w:val="none"/>
        </w:rPr>
      </w:pPr>
      <w:r>
        <w:rPr>
          <w:szCs w:val="21"/>
          <w:highlight w:val="none"/>
        </w:rPr>
        <w:t xml:space="preserve">中小企业是</w:t>
      </w:r>
      <w:r>
        <w:rPr>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highlight w:val="none"/>
        </w:rPr>
      </w:r>
      <w:r/>
    </w:p>
    <w:p>
      <w:pPr>
        <w:pStyle w:val="982"/>
        <w:numPr>
          <w:ilvl w:val="3"/>
          <w:numId w:val="1"/>
        </w:numPr>
        <w:ind w:left="2835" w:hanging="850"/>
        <w:spacing w:line="360" w:lineRule="auto"/>
        <w:tabs>
          <w:tab w:val="left" w:pos="1985" w:leader="none"/>
        </w:tabs>
        <w:rPr>
          <w:rFonts w:hint="eastAsia"/>
          <w:szCs w:val="21"/>
          <w:highlight w:val="none"/>
        </w:rPr>
      </w:pPr>
      <w:r>
        <w:rPr>
          <w:szCs w:val="21"/>
          <w:highlight w:val="none"/>
        </w:rPr>
        <w:t xml:space="preserve">供应商提供的货物、工程或者服务符合下列情形的，享受中小企业扶持政策：</w:t>
      </w:r>
      <w:r>
        <w:rPr>
          <w:rFonts w:hint="eastAsia"/>
          <w:szCs w:val="21"/>
          <w:highlight w:val="none"/>
        </w:rPr>
      </w:r>
      <w:r/>
    </w:p>
    <w:p>
      <w:pPr>
        <w:pStyle w:val="982"/>
        <w:ind w:left="2835"/>
        <w:spacing w:line="360" w:lineRule="auto"/>
        <w:tabs>
          <w:tab w:val="left" w:pos="1980" w:leader="none"/>
        </w:tabs>
        <w:rPr>
          <w:rFonts w:hint="eastAsia"/>
          <w:szCs w:val="21"/>
          <w:highlight w:val="none"/>
        </w:rPr>
      </w:pPr>
      <w:r>
        <w:rPr>
          <w:szCs w:val="21"/>
          <w:highlight w:val="none"/>
        </w:rPr>
        <w:t xml:space="preserve">（1）在货物采购项目中，货物由中小企业制造，即货物由中小企业生产且使用该中小企业商号或者注册商标；</w:t>
      </w:r>
      <w:r>
        <w:rPr>
          <w:rFonts w:hint="eastAsia"/>
          <w:szCs w:val="21"/>
          <w:highlight w:val="none"/>
        </w:rPr>
      </w:r>
      <w:r/>
    </w:p>
    <w:p>
      <w:pPr>
        <w:pStyle w:val="982"/>
        <w:ind w:left="2835"/>
        <w:spacing w:line="360" w:lineRule="auto"/>
        <w:tabs>
          <w:tab w:val="left" w:pos="1980" w:leader="none"/>
        </w:tabs>
        <w:rPr>
          <w:rFonts w:hint="eastAsia"/>
          <w:szCs w:val="21"/>
          <w:highlight w:val="none"/>
        </w:rPr>
      </w:pPr>
      <w:r>
        <w:rPr>
          <w:szCs w:val="21"/>
          <w:highlight w:val="none"/>
        </w:rPr>
        <w:t xml:space="preserve">（2）在工程采购项目中，工程由中小企业承建，即工程施工单位为中小企业；</w:t>
      </w:r>
      <w:r>
        <w:rPr>
          <w:rFonts w:hint="eastAsia"/>
          <w:szCs w:val="21"/>
          <w:highlight w:val="none"/>
        </w:rPr>
      </w:r>
      <w:r/>
    </w:p>
    <w:p>
      <w:pPr>
        <w:pStyle w:val="982"/>
        <w:ind w:left="2835"/>
        <w:spacing w:line="360" w:lineRule="auto"/>
        <w:tabs>
          <w:tab w:val="left" w:pos="1980" w:leader="none"/>
        </w:tabs>
        <w:rPr>
          <w:szCs w:val="21"/>
          <w:highlight w:val="none"/>
        </w:rPr>
      </w:pPr>
      <w:r>
        <w:rPr>
          <w:szCs w:val="21"/>
          <w:highlight w:val="none"/>
        </w:rPr>
        <w:t xml:space="preserve">（3）在服务采购项目中，服务由中小企业承接，即提供服务的人员为中小企业依照《中华人民共和国劳动合同法》订立劳动合同的从业人员。</w:t>
      </w:r>
      <w:r>
        <w:rPr>
          <w:szCs w:val="21"/>
          <w:highlight w:val="none"/>
        </w:rPr>
      </w:r>
      <w:r/>
    </w:p>
    <w:p>
      <w:pPr>
        <w:pStyle w:val="982"/>
        <w:numPr>
          <w:ilvl w:val="3"/>
          <w:numId w:val="1"/>
        </w:numPr>
        <w:ind w:left="2835" w:hanging="850"/>
        <w:spacing w:line="360" w:lineRule="auto"/>
        <w:tabs>
          <w:tab w:val="left" w:pos="1985" w:leader="none"/>
        </w:tabs>
        <w:rPr>
          <w:rFonts w:hint="eastAsia"/>
          <w:szCs w:val="21"/>
          <w:highlight w:val="none"/>
        </w:rPr>
      </w:pPr>
      <w:r>
        <w:rPr>
          <w:szCs w:val="21"/>
          <w:highlight w:val="none"/>
        </w:rPr>
        <w:t xml:space="preserve">在货物采购项目中，供应商提供的货物既有中小企业制造货物，也有大型企业制造货物的，不享受中小企业扶持政策。</w:t>
      </w:r>
      <w:r>
        <w:rPr>
          <w:rFonts w:hint="eastAsia"/>
          <w:szCs w:val="21"/>
          <w:highlight w:val="none"/>
        </w:rPr>
      </w:r>
      <w:r/>
    </w:p>
    <w:p>
      <w:pPr>
        <w:pStyle w:val="982"/>
        <w:numPr>
          <w:ilvl w:val="3"/>
          <w:numId w:val="1"/>
        </w:numPr>
        <w:ind w:left="2835" w:hanging="850"/>
        <w:spacing w:line="360" w:lineRule="auto"/>
        <w:tabs>
          <w:tab w:val="left" w:pos="1980" w:leader="none"/>
        </w:tabs>
        <w:rPr>
          <w:szCs w:val="21"/>
          <w:highlight w:val="none"/>
        </w:rPr>
      </w:pPr>
      <w:r>
        <w:rPr>
          <w:szCs w:val="21"/>
          <w:highlight w:val="none"/>
        </w:rPr>
        <w:t xml:space="preserve">以联合体形式参加政府采购活动，联合体各方均为中小企业的，联合体视同中小企业。其中，联合体各方均为小微企业的，联合体视同小微企业。</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highlight w:val="none"/>
        </w:rPr>
      </w:r>
      <w:r/>
    </w:p>
    <w:p>
      <w:pPr>
        <w:pStyle w:val="982"/>
        <w:numPr>
          <w:ilvl w:val="2"/>
          <w:numId w:val="1"/>
        </w:numPr>
        <w:spacing w:line="360" w:lineRule="auto"/>
        <w:tabs>
          <w:tab w:val="left" w:pos="1980" w:leader="none"/>
        </w:tabs>
        <w:rPr>
          <w:rFonts w:hint="eastAsia"/>
          <w:szCs w:val="21"/>
          <w:highlight w:val="none"/>
        </w:rPr>
      </w:pPr>
      <w:r>
        <w:rPr>
          <w:szCs w:val="21"/>
          <w:highlight w:val="none"/>
        </w:rPr>
        <w:t xml:space="preserve">残疾人福利单位定义：享受政府采购支持政策的残疾人福利性单位应当同时满足以下条件：</w:t>
      </w:r>
      <w:r>
        <w:rPr>
          <w:rFonts w:hint="eastAsia"/>
          <w:szCs w:val="21"/>
          <w:highlight w:val="none"/>
        </w:rPr>
      </w:r>
      <w:r/>
    </w:p>
    <w:p>
      <w:pPr>
        <w:pStyle w:val="982"/>
        <w:numPr>
          <w:ilvl w:val="3"/>
          <w:numId w:val="1"/>
        </w:numPr>
        <w:ind w:left="2835" w:hanging="850"/>
        <w:spacing w:line="360" w:lineRule="auto"/>
        <w:tabs>
          <w:tab w:val="left" w:pos="1980" w:leader="none"/>
          <w:tab w:val="left" w:pos="2835" w:leader="none"/>
        </w:tabs>
        <w:rPr>
          <w:rFonts w:hint="eastAsia"/>
          <w:szCs w:val="21"/>
          <w:highlight w:val="none"/>
        </w:rPr>
      </w:pPr>
      <w:r>
        <w:rPr>
          <w:szCs w:val="21"/>
          <w:highlight w:val="none"/>
        </w:rPr>
        <w:t xml:space="preserve">安置的残疾人占本单位在职职工人数的比例不低于25%（含25%），并且安置的残疾人人数不少于10人（含10人）；</w:t>
      </w:r>
      <w:r>
        <w:rPr>
          <w:rFonts w:hint="eastAsia"/>
          <w:szCs w:val="21"/>
          <w:highlight w:val="none"/>
        </w:rPr>
      </w:r>
      <w:r/>
    </w:p>
    <w:p>
      <w:pPr>
        <w:pStyle w:val="982"/>
        <w:numPr>
          <w:ilvl w:val="3"/>
          <w:numId w:val="1"/>
        </w:numPr>
        <w:ind w:left="2835" w:hanging="850"/>
        <w:spacing w:line="360" w:lineRule="auto"/>
        <w:tabs>
          <w:tab w:val="left" w:pos="1980" w:leader="none"/>
          <w:tab w:val="left" w:pos="2835" w:leader="none"/>
        </w:tabs>
        <w:rPr>
          <w:rFonts w:hint="eastAsia"/>
          <w:szCs w:val="21"/>
          <w:highlight w:val="none"/>
        </w:rPr>
      </w:pPr>
      <w:r>
        <w:rPr>
          <w:szCs w:val="21"/>
          <w:highlight w:val="none"/>
        </w:rPr>
        <w:t xml:space="preserve">依法与安置的每位残疾人签订了一年以上（含一年）的劳动合同或服务协议；</w:t>
      </w:r>
      <w:r>
        <w:rPr>
          <w:rFonts w:hint="eastAsia"/>
          <w:szCs w:val="21"/>
          <w:highlight w:val="none"/>
        </w:rPr>
      </w:r>
      <w:r/>
    </w:p>
    <w:p>
      <w:pPr>
        <w:pStyle w:val="982"/>
        <w:numPr>
          <w:ilvl w:val="3"/>
          <w:numId w:val="1"/>
        </w:numPr>
        <w:ind w:left="2835" w:hanging="850"/>
        <w:spacing w:line="360" w:lineRule="auto"/>
        <w:tabs>
          <w:tab w:val="left" w:pos="1980" w:leader="none"/>
          <w:tab w:val="left" w:pos="2835" w:leader="none"/>
        </w:tabs>
        <w:rPr>
          <w:rFonts w:hint="eastAsia"/>
          <w:szCs w:val="21"/>
          <w:highlight w:val="none"/>
        </w:rPr>
      </w:pPr>
      <w:r>
        <w:rPr>
          <w:szCs w:val="21"/>
          <w:highlight w:val="none"/>
        </w:rPr>
        <w:t xml:space="preserve">为安置的每位残疾人按月足额缴纳了基本养老保险、基本医疗保险、失业保险、工伤保险和生育保险等社会保险费；</w:t>
      </w:r>
      <w:r>
        <w:rPr>
          <w:rFonts w:hint="eastAsia"/>
          <w:szCs w:val="21"/>
          <w:highlight w:val="none"/>
        </w:rPr>
      </w:r>
      <w:r/>
    </w:p>
    <w:p>
      <w:pPr>
        <w:pStyle w:val="982"/>
        <w:numPr>
          <w:ilvl w:val="3"/>
          <w:numId w:val="1"/>
        </w:numPr>
        <w:ind w:left="2835" w:hanging="850"/>
        <w:spacing w:line="360" w:lineRule="auto"/>
        <w:tabs>
          <w:tab w:val="left" w:pos="1980" w:leader="none"/>
          <w:tab w:val="left" w:pos="2835" w:leader="none"/>
        </w:tabs>
        <w:rPr>
          <w:rFonts w:hint="eastAsia"/>
          <w:szCs w:val="21"/>
          <w:highlight w:val="none"/>
        </w:rPr>
      </w:pPr>
      <w:r>
        <w:rPr>
          <w:szCs w:val="21"/>
          <w:highlight w:val="none"/>
        </w:rPr>
        <w:t xml:space="preserve">通过银行等金融机构向安置的每位残疾人，按月支付了不低于单位所在区县适用的经省级人民政府批准的月最低工资标准的工资；</w:t>
      </w:r>
      <w:r>
        <w:rPr>
          <w:rFonts w:hint="eastAsia"/>
          <w:szCs w:val="21"/>
          <w:highlight w:val="none"/>
        </w:rPr>
      </w:r>
      <w:r/>
    </w:p>
    <w:p>
      <w:pPr>
        <w:pStyle w:val="982"/>
        <w:numPr>
          <w:ilvl w:val="3"/>
          <w:numId w:val="1"/>
        </w:numPr>
        <w:ind w:left="2835" w:hanging="850"/>
        <w:spacing w:line="360" w:lineRule="auto"/>
        <w:tabs>
          <w:tab w:val="left" w:pos="1980" w:leader="none"/>
          <w:tab w:val="left" w:pos="2835" w:leader="none"/>
        </w:tabs>
        <w:rPr>
          <w:rFonts w:hint="eastAsia"/>
          <w:szCs w:val="21"/>
          <w:highlight w:val="none"/>
        </w:rPr>
      </w:pPr>
      <w:r>
        <w:rPr>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982"/>
        <w:numPr>
          <w:ilvl w:val="3"/>
          <w:numId w:val="1"/>
        </w:numPr>
        <w:ind w:left="2835" w:hanging="850"/>
        <w:spacing w:line="360" w:lineRule="auto"/>
        <w:tabs>
          <w:tab w:val="left" w:pos="1980" w:leader="none"/>
          <w:tab w:val="left" w:pos="2835" w:leader="none"/>
        </w:tabs>
        <w:rPr>
          <w:szCs w:val="21"/>
          <w:highlight w:val="none"/>
        </w:rPr>
      </w:pPr>
      <w:r>
        <w:rPr>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本项目是否专门面向中小企业预留采购份额见第一章《采购邀请》。</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采购标的对应的中小企业划分标准所属行业见《供应商须知资料表》。</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小微企业价格评审优惠的政策调整：见第三章《评审方法和评审标准》。</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政府采购节能产品、环境标志产品</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如本项目采购产品属于实施政府强制采购品目清单范围的节能产品，则供应商所报产品必须获得国家确定的认证机构出具的、处于有效期之内的节能产品认证证书，</w:t>
      </w:r>
      <w:r>
        <w:rPr>
          <w:szCs w:val="21"/>
          <w:highlight w:val="none"/>
        </w:rPr>
        <w:t xml:space="preserve">否则</w:t>
      </w:r>
      <w:r>
        <w:rPr>
          <w:b/>
          <w:szCs w:val="21"/>
          <w:highlight w:val="none"/>
        </w:rPr>
        <w:t xml:space="preserve">响应无效</w:t>
      </w:r>
      <w:r>
        <w:rPr>
          <w:szCs w:val="21"/>
          <w:highlight w:val="none"/>
        </w:rPr>
        <w:t xml:space="preserve">；</w:t>
      </w:r>
      <w:r>
        <w:rPr>
          <w:szCs w:val="21"/>
          <w:highlight w:val="none"/>
        </w:rPr>
      </w:r>
      <w:r/>
    </w:p>
    <w:p>
      <w:pPr>
        <w:pStyle w:val="982"/>
        <w:numPr>
          <w:ilvl w:val="2"/>
          <w:numId w:val="1"/>
        </w:numPr>
        <w:spacing w:line="360" w:lineRule="auto"/>
        <w:tabs>
          <w:tab w:val="left" w:pos="1980" w:leader="none"/>
        </w:tabs>
        <w:rPr>
          <w:rFonts w:hint="eastAsia"/>
          <w:szCs w:val="21"/>
          <w:highlight w:val="none"/>
        </w:rPr>
      </w:pPr>
      <w:r>
        <w:rPr>
          <w:szCs w:val="21"/>
          <w:highlight w:val="none"/>
        </w:rPr>
        <w:t xml:space="preserve">非政府强制采购的节能产品或环境标志产品，依据品目清单和认证证书实施政府优先采购。优先采购的具体规定见第三章《评审方法和评审标准》（如涉及）。</w:t>
      </w:r>
      <w:r>
        <w:rPr>
          <w:rFonts w:hint="eastAsia"/>
          <w:szCs w:val="21"/>
          <w:highlight w:val="none"/>
        </w:rPr>
      </w:r>
      <w:r/>
    </w:p>
    <w:p>
      <w:pPr>
        <w:pStyle w:val="982"/>
        <w:numPr>
          <w:ilvl w:val="2"/>
          <w:numId w:val="1"/>
        </w:numPr>
        <w:spacing w:line="360" w:lineRule="auto"/>
        <w:tabs>
          <w:tab w:val="left" w:pos="1980" w:leader="none"/>
          <w:tab w:val="left" w:pos="2014" w:leader="none"/>
        </w:tabs>
        <w:rPr>
          <w:szCs w:val="21"/>
          <w:highlight w:val="none"/>
        </w:rPr>
      </w:pPr>
      <w:r>
        <w:rPr>
          <w:rFonts w:hint="eastAsia"/>
          <w:szCs w:val="21"/>
          <w:highlight w:val="none"/>
        </w:rPr>
        <w:t xml:space="preserve">依据</w:t>
      </w:r>
      <w:r>
        <w:rPr>
          <w:szCs w:val="21"/>
          <w:highlight w:val="none"/>
        </w:rPr>
        <w:t xml:space="preserve">《关于印发〈商品包装政府采购需求标准（试行）〉、〈快递包装政府采购需求标准（试行）〉的通知》（财办库〔2020〕123号）</w:t>
      </w:r>
      <w:r>
        <w:rPr>
          <w:rFonts w:hint="eastAsia"/>
          <w:szCs w:val="21"/>
          <w:highlight w:val="none"/>
        </w:rPr>
        <w:t xml:space="preserve">文件</w:t>
      </w:r>
      <w:r>
        <w:rPr>
          <w:szCs w:val="21"/>
          <w:highlight w:val="none"/>
        </w:rPr>
        <w:t xml:space="preserve">精神</w:t>
      </w:r>
      <w:r>
        <w:rPr>
          <w:rFonts w:hint="eastAsia"/>
          <w:szCs w:val="21"/>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支持乡村产业振兴管理</w:t>
      </w:r>
      <w:r>
        <w:rPr>
          <w:szCs w:val="21"/>
          <w:highlight w:val="none"/>
        </w:rPr>
      </w:r>
      <w:r/>
    </w:p>
    <w:p>
      <w:pPr>
        <w:pStyle w:val="982"/>
        <w:numPr>
          <w:ilvl w:val="2"/>
          <w:numId w:val="1"/>
        </w:numPr>
        <w:spacing w:line="360" w:lineRule="auto"/>
        <w:tabs>
          <w:tab w:val="left" w:pos="1980" w:leader="none"/>
          <w:tab w:val="left" w:pos="2014" w:leader="none"/>
        </w:tabs>
        <w:rPr>
          <w:szCs w:val="21"/>
          <w:highlight w:val="none"/>
        </w:rPr>
      </w:pPr>
      <w:r>
        <w:rPr>
          <w:szCs w:val="21"/>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正版软件</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highlight w:val="none"/>
        </w:rPr>
        <w:t xml:space="preserve">否则</w:t>
      </w:r>
      <w:r>
        <w:rPr>
          <w:b/>
          <w:szCs w:val="21"/>
          <w:highlight w:val="none"/>
        </w:rPr>
        <w:t xml:space="preserve">响应无效</w:t>
      </w:r>
      <w:r>
        <w:rPr>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信息安全产品</w:t>
      </w:r>
      <w:r>
        <w:rPr>
          <w:szCs w:val="21"/>
          <w:highlight w:val="none"/>
        </w:rPr>
      </w:r>
      <w:r/>
    </w:p>
    <w:p>
      <w:pPr>
        <w:pStyle w:val="982"/>
        <w:numPr>
          <w:ilvl w:val="2"/>
          <w:numId w:val="1"/>
        </w:numPr>
        <w:spacing w:line="360" w:lineRule="auto"/>
        <w:tabs>
          <w:tab w:val="left" w:pos="1980" w:leader="none"/>
          <w:tab w:val="left" w:pos="2014" w:leader="none"/>
        </w:tabs>
        <w:rPr>
          <w:rFonts w:hint="eastAsia"/>
          <w:szCs w:val="21"/>
          <w:highlight w:val="none"/>
        </w:rPr>
      </w:pPr>
      <w:r>
        <w:rPr>
          <w:szCs w:val="21"/>
          <w:highlight w:val="none"/>
        </w:rPr>
        <w:t xml:space="preserve">所投产品属于《关于调整信息安全产品强制性认证实施要求的公告》（2009 年第33 号）范围的，采购经国家认证的信息安全产品，</w:t>
      </w:r>
      <w:r>
        <w:rPr>
          <w:szCs w:val="21"/>
          <w:highlight w:val="none"/>
        </w:rPr>
        <w:t xml:space="preserve">否则</w:t>
      </w:r>
      <w:r>
        <w:rPr>
          <w:b/>
          <w:szCs w:val="21"/>
          <w:highlight w:val="none"/>
        </w:rPr>
        <w:t xml:space="preserve">响应无效</w:t>
      </w:r>
      <w:r>
        <w:rPr>
          <w:szCs w:val="21"/>
          <w:highlight w:val="none"/>
        </w:rPr>
        <w:t xml:space="preserve">。关于信息安全相关规定依据《关于信息安全产品实施政府采购的通知》（财库〔2010〕48 号）。</w:t>
      </w:r>
      <w:r>
        <w:rPr>
          <w:rFonts w:hint="eastAsia"/>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rFonts w:hint="eastAsia"/>
          <w:szCs w:val="21"/>
          <w:highlight w:val="none"/>
        </w:rPr>
      </w:pPr>
      <w:r>
        <w:rPr>
          <w:rFonts w:hint="eastAsia"/>
          <w:szCs w:val="21"/>
          <w:highlight w:val="none"/>
        </w:rPr>
        <w:t xml:space="preserve">政府采购创新产品政策</w:t>
      </w:r>
      <w:r>
        <w:rPr>
          <w:rFonts w:hint="eastAsia"/>
          <w:szCs w:val="21"/>
          <w:highlight w:val="none"/>
        </w:rPr>
      </w:r>
      <w:r/>
    </w:p>
    <w:p>
      <w:pPr>
        <w:pStyle w:val="982"/>
        <w:numPr>
          <w:ilvl w:val="2"/>
          <w:numId w:val="1"/>
        </w:numPr>
        <w:spacing w:line="360" w:lineRule="auto"/>
        <w:tabs>
          <w:tab w:val="left" w:pos="1980" w:leader="none"/>
          <w:tab w:val="left" w:pos="2014" w:leader="none"/>
        </w:tabs>
        <w:rPr>
          <w:szCs w:val="21"/>
          <w:highlight w:val="none"/>
        </w:rPr>
      </w:pPr>
      <w:r>
        <w:rPr>
          <w:rFonts w:hint="eastAsia"/>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响应费用</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供应商应自行承担所有与准备和参加磋商有关的费用，无论磋商的结果如何，采购人或采购代理机构在任何情况下均无承担这些费用的义务和责任。</w:t>
      </w:r>
      <w:r>
        <w:rPr>
          <w:szCs w:val="21"/>
          <w:highlight w:val="none"/>
        </w:rPr>
      </w:r>
      <w:r/>
    </w:p>
    <w:p>
      <w:pPr>
        <w:pStyle w:val="982"/>
        <w:ind w:left="1080"/>
        <w:spacing w:line="360" w:lineRule="auto"/>
        <w:tabs>
          <w:tab w:val="left" w:pos="1080" w:leader="none"/>
        </w:tabs>
        <w:rPr>
          <w:szCs w:val="21"/>
          <w:highlight w:val="none"/>
        </w:rPr>
      </w:pPr>
      <w:r/>
      <w:bookmarkStart w:id="132" w:name="_1.8_计量单位"/>
      <w:r/>
      <w:bookmarkEnd w:id="132"/>
      <w:r>
        <w:rPr>
          <w:szCs w:val="21"/>
          <w:highlight w:val="none"/>
        </w:rPr>
      </w:r>
      <w:r/>
    </w:p>
    <w:p>
      <w:pPr>
        <w:pStyle w:val="984"/>
        <w:spacing w:before="0" w:line="360" w:lineRule="auto"/>
        <w:rPr>
          <w:rFonts w:ascii="Times New Roman" w:hAnsi="Times New Roman" w:eastAsia="宋体"/>
          <w:sz w:val="21"/>
          <w:szCs w:val="21"/>
          <w:highlight w:val="none"/>
        </w:rPr>
      </w:pPr>
      <w:r>
        <w:rPr>
          <w:rFonts w:ascii="Times New Roman" w:hAnsi="Times New Roman" w:eastAsia="宋体"/>
          <w:sz w:val="21"/>
          <w:szCs w:val="21"/>
          <w:highlight w:val="none"/>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133" w:name="_Toc164229218"/>
      <w:r/>
      <w:bookmarkStart w:id="134" w:name="_Toc226337219"/>
      <w:r/>
      <w:bookmarkStart w:id="135" w:name="_Toc149720816"/>
      <w:r/>
      <w:bookmarkStart w:id="136" w:name="_Toc305158865"/>
      <w:r/>
      <w:bookmarkStart w:id="137" w:name="_Toc226309767"/>
      <w:r/>
      <w:bookmarkStart w:id="138" w:name="_Toc164351617"/>
      <w:r/>
      <w:bookmarkStart w:id="139" w:name="_Toc151193837"/>
      <w:r/>
      <w:bookmarkStart w:id="140" w:name="_Toc150509274"/>
      <w:r/>
      <w:bookmarkStart w:id="141" w:name="_Toc150480761"/>
      <w:r/>
      <w:bookmarkStart w:id="142" w:name="_Toc164229364"/>
      <w:r/>
      <w:bookmarkStart w:id="143" w:name="_Toc305158791"/>
      <w:r/>
      <w:bookmarkStart w:id="144" w:name="_Toc151193911"/>
      <w:r/>
      <w:bookmarkStart w:id="145" w:name="_Toc151193621"/>
      <w:r/>
      <w:bookmarkStart w:id="146" w:name="_Toc226965796"/>
      <w:r/>
      <w:bookmarkStart w:id="147" w:name="_Toc164608792"/>
      <w:r/>
      <w:bookmarkStart w:id="148" w:name="_Toc164608637"/>
      <w:r/>
      <w:bookmarkStart w:id="149" w:name="_Toc151193765"/>
      <w:r/>
      <w:bookmarkStart w:id="150" w:name="_Toc226965713"/>
      <w:r/>
      <w:bookmarkStart w:id="151" w:name="_Toc151190150"/>
      <w:r/>
      <w:bookmarkStart w:id="152" w:name="_Toc150774728"/>
      <w:r/>
      <w:bookmarkStart w:id="153" w:name="_Toc127151724"/>
      <w:r/>
      <w:bookmarkStart w:id="154" w:name="_Toc195842888"/>
      <w:r/>
      <w:bookmarkStart w:id="155" w:name="_Toc127151523"/>
      <w:r/>
      <w:bookmarkStart w:id="156" w:name="_Toc520356147"/>
      <w:r/>
      <w:bookmarkStart w:id="157" w:name="_Toc264969213"/>
      <w:r/>
      <w:bookmarkStart w:id="158" w:name="_Toc151193693"/>
      <w:r/>
      <w:bookmarkStart w:id="159" w:name="_Toc150774623"/>
      <w:r/>
      <w:bookmarkStart w:id="160" w:name="_Toc142311025"/>
      <w:r/>
      <w:bookmarkStart w:id="161" w:name="_Toc265228361"/>
      <w:r/>
      <w:bookmarkStart w:id="162" w:name="_Toc127161437"/>
      <w:r>
        <w:rPr>
          <w:szCs w:val="21"/>
          <w:highlight w:val="none"/>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highlight w:val="none"/>
        </w:rPr>
        <w:t xml:space="preserve">成</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竞争性磋商文件包括以下部分：</w:t>
      </w:r>
      <w:r>
        <w:rPr>
          <w:szCs w:val="21"/>
          <w:highlight w:val="none"/>
        </w:rPr>
      </w:r>
      <w:r/>
    </w:p>
    <w:p>
      <w:pPr>
        <w:pStyle w:val="982"/>
        <w:numPr>
          <w:ilvl w:val="0"/>
          <w:numId w:val="2"/>
        </w:numPr>
        <w:ind w:left="1440" w:firstLine="5"/>
        <w:spacing w:line="360" w:lineRule="auto"/>
        <w:tabs>
          <w:tab w:val="left" w:pos="1980" w:leader="none"/>
          <w:tab w:val="left" w:pos="2520" w:leader="none"/>
          <w:tab w:val="left" w:pos="4941" w:leader="none"/>
        </w:tabs>
        <w:rPr>
          <w:szCs w:val="21"/>
          <w:highlight w:val="none"/>
        </w:rPr>
      </w:pPr>
      <w:r>
        <w:rPr>
          <w:szCs w:val="21"/>
          <w:highlight w:val="none"/>
        </w:rPr>
        <w:t xml:space="preserve">采购邀请</w:t>
      </w:r>
      <w:r>
        <w:rPr>
          <w:szCs w:val="21"/>
          <w:highlight w:val="none"/>
        </w:rPr>
      </w:r>
      <w:r/>
    </w:p>
    <w:p>
      <w:pPr>
        <w:pStyle w:val="982"/>
        <w:numPr>
          <w:ilvl w:val="0"/>
          <w:numId w:val="2"/>
        </w:numPr>
        <w:ind w:left="1440" w:firstLine="5"/>
        <w:spacing w:line="360" w:lineRule="auto"/>
        <w:tabs>
          <w:tab w:val="left" w:pos="1980" w:leader="none"/>
          <w:tab w:val="left" w:pos="2520" w:leader="none"/>
          <w:tab w:val="left" w:pos="4941" w:leader="none"/>
        </w:tabs>
        <w:rPr>
          <w:szCs w:val="21"/>
          <w:highlight w:val="none"/>
        </w:rPr>
      </w:pPr>
      <w:r>
        <w:rPr>
          <w:szCs w:val="21"/>
          <w:highlight w:val="none"/>
        </w:rPr>
        <w:t xml:space="preserve">供应商须知</w:t>
      </w:r>
      <w:r>
        <w:rPr>
          <w:szCs w:val="21"/>
          <w:highlight w:val="none"/>
        </w:rPr>
      </w:r>
      <w:r/>
    </w:p>
    <w:p>
      <w:pPr>
        <w:pStyle w:val="982"/>
        <w:numPr>
          <w:ilvl w:val="0"/>
          <w:numId w:val="2"/>
        </w:numPr>
        <w:ind w:left="1440" w:firstLine="5"/>
        <w:spacing w:line="360" w:lineRule="auto"/>
        <w:tabs>
          <w:tab w:val="left" w:pos="1980" w:leader="none"/>
          <w:tab w:val="left" w:pos="2520" w:leader="none"/>
          <w:tab w:val="left" w:pos="4941" w:leader="none"/>
        </w:tabs>
        <w:rPr>
          <w:szCs w:val="21"/>
          <w:highlight w:val="none"/>
        </w:rPr>
      </w:pPr>
      <w:r>
        <w:rPr>
          <w:szCs w:val="21"/>
          <w:highlight w:val="none"/>
        </w:rPr>
        <w:t xml:space="preserve">评审</w:t>
      </w:r>
      <w:r>
        <w:rPr>
          <w:rFonts w:hint="eastAsia"/>
          <w:szCs w:val="21"/>
          <w:highlight w:val="none"/>
        </w:rPr>
        <w:t xml:space="preserve">程序、评审</w:t>
      </w:r>
      <w:r>
        <w:rPr>
          <w:szCs w:val="21"/>
          <w:highlight w:val="none"/>
        </w:rPr>
        <w:t xml:space="preserve">方法和评审标准</w:t>
      </w:r>
      <w:r>
        <w:rPr>
          <w:szCs w:val="21"/>
          <w:highlight w:val="none"/>
        </w:rPr>
      </w:r>
      <w:r/>
    </w:p>
    <w:p>
      <w:pPr>
        <w:pStyle w:val="982"/>
        <w:numPr>
          <w:ilvl w:val="0"/>
          <w:numId w:val="2"/>
        </w:numPr>
        <w:ind w:left="1440" w:firstLine="5"/>
        <w:spacing w:line="360" w:lineRule="auto"/>
        <w:tabs>
          <w:tab w:val="left" w:pos="1980" w:leader="none"/>
          <w:tab w:val="left" w:pos="2520" w:leader="none"/>
          <w:tab w:val="left" w:pos="4941" w:leader="none"/>
        </w:tabs>
        <w:rPr>
          <w:szCs w:val="21"/>
          <w:highlight w:val="none"/>
        </w:rPr>
      </w:pPr>
      <w:r>
        <w:rPr>
          <w:szCs w:val="21"/>
          <w:highlight w:val="none"/>
        </w:rPr>
        <w:t xml:space="preserve">采购需求</w:t>
      </w:r>
      <w:r>
        <w:rPr>
          <w:szCs w:val="21"/>
          <w:highlight w:val="none"/>
        </w:rPr>
      </w:r>
      <w:r/>
    </w:p>
    <w:p>
      <w:pPr>
        <w:pStyle w:val="982"/>
        <w:numPr>
          <w:ilvl w:val="0"/>
          <w:numId w:val="2"/>
        </w:numPr>
        <w:ind w:left="1440" w:firstLine="5"/>
        <w:spacing w:line="360" w:lineRule="auto"/>
        <w:tabs>
          <w:tab w:val="left" w:pos="1980" w:leader="none"/>
          <w:tab w:val="left" w:pos="2520" w:leader="none"/>
          <w:tab w:val="left" w:pos="4941" w:leader="none"/>
        </w:tabs>
        <w:rPr>
          <w:szCs w:val="21"/>
          <w:highlight w:val="none"/>
        </w:rPr>
      </w:pPr>
      <w:r>
        <w:rPr>
          <w:szCs w:val="21"/>
          <w:highlight w:val="none"/>
        </w:rPr>
        <w:t xml:space="preserve">合同草案条款</w:t>
      </w:r>
      <w:r>
        <w:rPr>
          <w:szCs w:val="21"/>
          <w:highlight w:val="none"/>
        </w:rPr>
      </w:r>
      <w:r/>
    </w:p>
    <w:p>
      <w:pPr>
        <w:pStyle w:val="982"/>
        <w:numPr>
          <w:ilvl w:val="0"/>
          <w:numId w:val="2"/>
        </w:numPr>
        <w:ind w:left="1440" w:firstLine="5"/>
        <w:spacing w:line="360" w:lineRule="auto"/>
        <w:tabs>
          <w:tab w:val="left" w:pos="1980" w:leader="none"/>
          <w:tab w:val="left" w:pos="2520" w:leader="none"/>
          <w:tab w:val="left" w:pos="4941" w:leader="none"/>
        </w:tabs>
        <w:rPr>
          <w:szCs w:val="21"/>
          <w:highlight w:val="none"/>
        </w:rPr>
      </w:pPr>
      <w:r>
        <w:rPr>
          <w:szCs w:val="21"/>
          <w:highlight w:val="none"/>
        </w:rPr>
        <w:t xml:space="preserve">响应文件格式</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Cs w:val="21"/>
          <w:highlight w:val="none"/>
        </w:rPr>
        <w:t xml:space="preserve">响应无效</w:t>
      </w:r>
      <w:r>
        <w:rPr>
          <w:szCs w:val="21"/>
          <w:highlight w:val="none"/>
        </w:rPr>
        <w:t xml:space="preserve">。</w:t>
      </w:r>
      <w:r>
        <w:rPr>
          <w:szCs w:val="21"/>
          <w:highlight w:val="none"/>
        </w:rPr>
      </w:r>
      <w:r/>
    </w:p>
    <w:p>
      <w:pPr>
        <w:pStyle w:val="982"/>
        <w:numPr>
          <w:ilvl w:val="0"/>
          <w:numId w:val="1"/>
        </w:numPr>
        <w:ind w:left="357" w:hanging="357"/>
        <w:spacing w:line="360" w:lineRule="auto"/>
        <w:tabs>
          <w:tab w:val="left" w:pos="900" w:leader="none"/>
          <w:tab w:val="left" w:pos="1080" w:leader="none"/>
          <w:tab w:val="left" w:pos="2014" w:leader="none"/>
        </w:tabs>
        <w:rPr>
          <w:szCs w:val="21"/>
          <w:highlight w:val="none"/>
        </w:rPr>
        <w:outlineLvl w:val="1"/>
      </w:pPr>
      <w:r>
        <w:rPr>
          <w:szCs w:val="21"/>
          <w:highlight w:val="none"/>
        </w:rPr>
        <w:t xml:space="preserve">对竞争性磋商文件的澄清或修改</w:t>
      </w:r>
      <w:r>
        <w:rPr>
          <w:szCs w:val="21"/>
          <w:highlight w:val="none"/>
        </w:rPr>
      </w:r>
      <w:r/>
    </w:p>
    <w:p>
      <w:pPr>
        <w:pStyle w:val="982"/>
        <w:numPr>
          <w:ilvl w:val="1"/>
          <w:numId w:val="1"/>
        </w:numPr>
        <w:ind w:left="1080" w:hanging="720"/>
        <w:spacing w:line="360" w:lineRule="auto"/>
        <w:tabs>
          <w:tab w:val="left" w:pos="1080" w:leader="none"/>
          <w:tab w:val="left" w:pos="1561" w:leader="none"/>
          <w:tab w:val="left" w:pos="1589" w:leader="none"/>
          <w:tab w:val="left" w:pos="2014" w:leader="none"/>
        </w:tabs>
        <w:rPr>
          <w:szCs w:val="21"/>
          <w:highlight w:val="none"/>
        </w:rPr>
      </w:pPr>
      <w:r>
        <w:rPr>
          <w:szCs w:val="21"/>
          <w:highlight w:val="none"/>
        </w:rPr>
        <w:t xml:space="preserve">采购人或采购代理机构对已发出的竞争性磋商文件进行必要澄清或者修改的，将在原公告发布媒体上以</w:t>
      </w:r>
      <w:r>
        <w:rPr>
          <w:rFonts w:hint="eastAsia"/>
          <w:szCs w:val="21"/>
          <w:highlight w:val="none"/>
        </w:rPr>
        <w:t xml:space="preserve">发布</w:t>
      </w:r>
      <w:r>
        <w:rPr>
          <w:szCs w:val="21"/>
          <w:highlight w:val="none"/>
        </w:rPr>
        <w:t xml:space="preserve">更正公告</w:t>
      </w:r>
      <w:r>
        <w:rPr>
          <w:rFonts w:hint="eastAsia"/>
          <w:szCs w:val="21"/>
          <w:highlight w:val="none"/>
        </w:rPr>
        <w:t xml:space="preserve">的</w:t>
      </w:r>
      <w:r>
        <w:rPr>
          <w:szCs w:val="21"/>
          <w:highlight w:val="none"/>
        </w:rPr>
        <w:t xml:space="preserve">形式通知所有获取</w:t>
      </w:r>
      <w:r>
        <w:rPr>
          <w:rFonts w:hint="eastAsia"/>
          <w:szCs w:val="21"/>
          <w:highlight w:val="none"/>
        </w:rPr>
        <w:t xml:space="preserve">磋商文件</w:t>
      </w:r>
      <w:r>
        <w:rPr>
          <w:szCs w:val="21"/>
          <w:highlight w:val="none"/>
        </w:rPr>
        <w:t xml:space="preserve">的</w:t>
      </w:r>
      <w:r>
        <w:rPr>
          <w:rFonts w:hint="eastAsia"/>
          <w:szCs w:val="21"/>
          <w:highlight w:val="none"/>
        </w:rPr>
        <w:t xml:space="preserve">供应商。</w:t>
      </w:r>
      <w:r>
        <w:rPr>
          <w:szCs w:val="21"/>
          <w:highlight w:val="none"/>
        </w:rPr>
      </w:r>
      <w:r/>
    </w:p>
    <w:p>
      <w:pPr>
        <w:pStyle w:val="982"/>
        <w:numPr>
          <w:ilvl w:val="1"/>
          <w:numId w:val="1"/>
        </w:numPr>
        <w:ind w:left="1080" w:hanging="720"/>
        <w:spacing w:line="360" w:lineRule="auto"/>
        <w:tabs>
          <w:tab w:val="left" w:pos="1080" w:leader="none"/>
          <w:tab w:val="left" w:pos="1561" w:leader="none"/>
          <w:tab w:val="left" w:pos="1589" w:leader="none"/>
          <w:tab w:val="left" w:pos="2014" w:leader="none"/>
        </w:tabs>
        <w:rPr>
          <w:szCs w:val="21"/>
          <w:highlight w:val="none"/>
        </w:rPr>
      </w:pPr>
      <w:r>
        <w:rPr>
          <w:szCs w:val="21"/>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highlight w:val="none"/>
        </w:rPr>
        <w:t xml:space="preserve">5</w:t>
      </w:r>
      <w:r>
        <w:rPr>
          <w:szCs w:val="21"/>
          <w:highlight w:val="none"/>
        </w:rPr>
        <w:t xml:space="preserve">日前</w:t>
      </w:r>
      <w:r>
        <w:rPr>
          <w:rFonts w:hint="eastAsia"/>
          <w:szCs w:val="21"/>
          <w:highlight w:val="none"/>
        </w:rPr>
        <w:t xml:space="preserve">，</w:t>
      </w:r>
      <w:r>
        <w:rPr>
          <w:szCs w:val="21"/>
          <w:highlight w:val="none"/>
        </w:rPr>
        <w:t xml:space="preserve">以更正公告形式通知所有获取</w:t>
      </w:r>
      <w:r>
        <w:rPr>
          <w:rFonts w:hint="eastAsia"/>
          <w:szCs w:val="21"/>
          <w:highlight w:val="none"/>
        </w:rPr>
        <w:t xml:space="preserve">磋商</w:t>
      </w:r>
      <w:r>
        <w:rPr>
          <w:szCs w:val="21"/>
          <w:highlight w:val="none"/>
        </w:rPr>
        <w:t xml:space="preserve">文件的潜在供应商；；不足上述时间的，将顺延提交响应文件的截止时间。</w:t>
      </w:r>
      <w:r>
        <w:rPr>
          <w:szCs w:val="21"/>
          <w:highlight w:val="none"/>
        </w:rPr>
      </w:r>
      <w:r/>
    </w:p>
    <w:p>
      <w:pPr>
        <w:pStyle w:val="982"/>
        <w:ind w:left="1080"/>
        <w:spacing w:line="360" w:lineRule="auto"/>
        <w:tabs>
          <w:tab w:val="left" w:pos="1080" w:leader="none"/>
          <w:tab w:val="left" w:pos="1561" w:leader="none"/>
        </w:tabs>
        <w:rPr>
          <w:szCs w:val="21"/>
          <w:highlight w:val="none"/>
        </w:rPr>
      </w:pPr>
      <w:r/>
      <w:bookmarkStart w:id="163" w:name="_Toc151193624"/>
      <w:r/>
      <w:bookmarkStart w:id="164" w:name="_Toc150774731"/>
      <w:r/>
      <w:bookmarkStart w:id="165" w:name="_Toc142311028"/>
      <w:r/>
      <w:bookmarkStart w:id="166" w:name="_Toc226309770"/>
      <w:r/>
      <w:bookmarkStart w:id="167" w:name="_Toc195842891"/>
      <w:r/>
      <w:bookmarkStart w:id="168" w:name="_Toc151193696"/>
      <w:r/>
      <w:bookmarkStart w:id="169" w:name="_Toc127151526"/>
      <w:r/>
      <w:bookmarkStart w:id="170" w:name="_Toc150480764"/>
      <w:r/>
      <w:bookmarkStart w:id="171" w:name="_Toc520356150"/>
      <w:r/>
      <w:bookmarkStart w:id="172" w:name="_Toc226337222"/>
      <w:r/>
      <w:bookmarkStart w:id="173" w:name="_Toc226965799"/>
      <w:r/>
      <w:bookmarkStart w:id="174" w:name="_Toc264969216"/>
      <w:r/>
      <w:bookmarkStart w:id="175" w:name="_Toc226965716"/>
      <w:r/>
      <w:bookmarkStart w:id="176" w:name="_Toc265228364"/>
      <w:r/>
      <w:bookmarkStart w:id="177" w:name="_Toc305158794"/>
      <w:r/>
      <w:bookmarkStart w:id="178" w:name="_Toc151193768"/>
      <w:r/>
      <w:bookmarkStart w:id="179" w:name="_Toc151193840"/>
      <w:r/>
      <w:bookmarkStart w:id="180" w:name="_Toc151193914"/>
      <w:r/>
      <w:bookmarkStart w:id="181" w:name="_Toc150509277"/>
      <w:r/>
      <w:bookmarkStart w:id="182" w:name="_Toc516367020"/>
      <w:r/>
      <w:bookmarkStart w:id="183" w:name="_Toc150774626"/>
      <w:r/>
      <w:bookmarkStart w:id="184" w:name="_Toc305158868"/>
      <w:r/>
      <w:bookmarkStart w:id="185" w:name="_Toc151190153"/>
      <w:r>
        <w:rPr>
          <w:szCs w:val="21"/>
          <w:highlight w:val="none"/>
        </w:rPr>
      </w:r>
      <w:r/>
    </w:p>
    <w:p>
      <w:pPr>
        <w:pStyle w:val="984"/>
        <w:spacing w:before="0" w:line="360" w:lineRule="auto"/>
        <w:rPr>
          <w:rFonts w:ascii="Times New Roman" w:hAnsi="Times New Roman" w:eastAsia="宋体"/>
          <w:sz w:val="21"/>
          <w:szCs w:val="21"/>
          <w:highlight w:val="none"/>
        </w:rPr>
      </w:pPr>
      <w:r>
        <w:rPr>
          <w:rFonts w:ascii="Times New Roman" w:hAnsi="Times New Roman" w:eastAsia="宋体"/>
          <w:sz w:val="21"/>
          <w:szCs w:val="21"/>
          <w:highlight w:val="none"/>
        </w:rPr>
        <w:t xml:space="preserve">三   响应文件</w:t>
      </w:r>
      <w:bookmarkEnd w:id="182"/>
      <w:r>
        <w:rPr>
          <w:rFonts w:ascii="Times New Roman" w:hAnsi="Times New Roman" w:eastAsia="宋体"/>
          <w:sz w:val="21"/>
          <w:szCs w:val="21"/>
          <w:highlight w:val="none"/>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186" w:name="_Toc151193915"/>
      <w:r/>
      <w:bookmarkStart w:id="187" w:name="_Toc127161441"/>
      <w:r/>
      <w:bookmarkStart w:id="188" w:name="_Toc264969217"/>
      <w:r/>
      <w:bookmarkStart w:id="189" w:name="_Toc151190154"/>
      <w:r/>
      <w:bookmarkStart w:id="190" w:name="_Toc150774627"/>
      <w:r/>
      <w:bookmarkStart w:id="191" w:name="_Toc520356151"/>
      <w:r/>
      <w:bookmarkStart w:id="192" w:name="_Toc142311029"/>
      <w:r/>
      <w:bookmarkStart w:id="193" w:name="_Toc265228365"/>
      <w:r/>
      <w:bookmarkStart w:id="194" w:name="_Toc305158869"/>
      <w:r/>
      <w:bookmarkStart w:id="195" w:name="_Toc516367021"/>
      <w:r/>
      <w:bookmarkStart w:id="196" w:name="_Toc150480765"/>
      <w:r/>
      <w:bookmarkStart w:id="197" w:name="_Toc149720820"/>
      <w:r/>
      <w:bookmarkStart w:id="198" w:name="_Toc164351621"/>
      <w:r/>
      <w:bookmarkStart w:id="199" w:name="_Toc151193841"/>
      <w:r/>
      <w:bookmarkStart w:id="200" w:name="_Toc164608796"/>
      <w:r/>
      <w:bookmarkStart w:id="201" w:name="_Toc305158795"/>
      <w:r/>
      <w:bookmarkStart w:id="202" w:name="_Toc151193625"/>
      <w:r/>
      <w:bookmarkStart w:id="203" w:name="_Toc127151728"/>
      <w:r/>
      <w:bookmarkStart w:id="204" w:name="_Toc150774732"/>
      <w:r/>
      <w:bookmarkStart w:id="205" w:name="_Toc226965717"/>
      <w:r/>
      <w:bookmarkStart w:id="206" w:name="_Toc127151527"/>
      <w:r/>
      <w:bookmarkStart w:id="207" w:name="_Toc164229222"/>
      <w:r/>
      <w:bookmarkStart w:id="208" w:name="_Toc150509278"/>
      <w:r/>
      <w:bookmarkStart w:id="209" w:name="_Toc151193697"/>
      <w:r/>
      <w:bookmarkStart w:id="210" w:name="_Toc226965800"/>
      <w:r/>
      <w:bookmarkStart w:id="211" w:name="_Toc195842892"/>
      <w:r/>
      <w:bookmarkStart w:id="212" w:name="_Toc226309771"/>
      <w:r/>
      <w:bookmarkStart w:id="213" w:name="_Toc226337223"/>
      <w:r/>
      <w:bookmarkStart w:id="214" w:name="_Toc151193769"/>
      <w:r/>
      <w:bookmarkStart w:id="215" w:name="_Toc164608641"/>
      <w:r/>
      <w:bookmarkStart w:id="216" w:name="_Toc164229368"/>
      <w:r>
        <w:rPr>
          <w:szCs w:val="21"/>
          <w:highlight w:val="none"/>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highlight w:val="none"/>
        </w:rPr>
        <w:t xml:space="preserve">及磋商语言</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highlight w:val="none"/>
        </w:rPr>
        <w:t xml:space="preserve">响应无效</w:t>
      </w:r>
      <w:r>
        <w:rPr>
          <w:szCs w:val="21"/>
          <w:highlight w:val="none"/>
        </w:rPr>
        <w:t xml:space="preserve">。</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除竞争性磋商文件有特殊要求外，本项目磋商所使用的计量单位，应采用中华人民共和国法定计量单位。</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217" w:name="_Toc127161442"/>
      <w:r/>
      <w:bookmarkStart w:id="218" w:name="_Toc127151528"/>
      <w:r/>
      <w:bookmarkStart w:id="219" w:name="_Toc150774733"/>
      <w:r/>
      <w:bookmarkStart w:id="220" w:name="_Toc151193698"/>
      <w:r/>
      <w:bookmarkStart w:id="221" w:name="_Toc164608642"/>
      <w:r/>
      <w:bookmarkStart w:id="222" w:name="_Toc150509279"/>
      <w:r/>
      <w:bookmarkStart w:id="223" w:name="_Toc520356152"/>
      <w:r/>
      <w:bookmarkStart w:id="224" w:name="_Toc150774628"/>
      <w:r/>
      <w:bookmarkStart w:id="225" w:name="_Toc149720821"/>
      <w:r/>
      <w:bookmarkStart w:id="226" w:name="_Toc164229223"/>
      <w:r/>
      <w:bookmarkStart w:id="227" w:name="_Toc127151729"/>
      <w:r/>
      <w:bookmarkStart w:id="228" w:name="_Toc142311030"/>
      <w:r/>
      <w:bookmarkStart w:id="229" w:name="_Toc151193842"/>
      <w:r/>
      <w:bookmarkStart w:id="230" w:name="_Toc516367022"/>
      <w:r/>
      <w:bookmarkStart w:id="231" w:name="_Ref467306195"/>
      <w:r/>
      <w:bookmarkStart w:id="232" w:name="_Toc151193770"/>
      <w:r/>
      <w:bookmarkStart w:id="233" w:name="_Ref467306676"/>
      <w:r/>
      <w:bookmarkStart w:id="234" w:name="_Toc151193916"/>
      <w:r/>
      <w:bookmarkStart w:id="235" w:name="_Toc265228366"/>
      <w:r/>
      <w:bookmarkStart w:id="236" w:name="_Toc151190155"/>
      <w:r/>
      <w:bookmarkStart w:id="237" w:name="_Toc226309772"/>
      <w:r/>
      <w:bookmarkStart w:id="238" w:name="_Toc264969218"/>
      <w:r/>
      <w:bookmarkStart w:id="239" w:name="_Toc226965801"/>
      <w:r/>
      <w:bookmarkStart w:id="240" w:name="_Toc226965718"/>
      <w:r/>
      <w:bookmarkStart w:id="241" w:name="_Toc305158796"/>
      <w:r/>
      <w:bookmarkStart w:id="242" w:name="_Toc164608797"/>
      <w:r/>
      <w:bookmarkStart w:id="243" w:name="_Toc150480766"/>
      <w:r/>
      <w:bookmarkStart w:id="244" w:name="_Toc164351622"/>
      <w:r/>
      <w:bookmarkStart w:id="245" w:name="_Toc151193626"/>
      <w:r/>
      <w:bookmarkStart w:id="246" w:name="_Toc226337224"/>
      <w:r/>
      <w:bookmarkStart w:id="247" w:name="_Toc195842893"/>
      <w:r/>
      <w:bookmarkStart w:id="248" w:name="_Toc164229369"/>
      <w:r/>
      <w:bookmarkStart w:id="249" w:name="_Toc305158870"/>
      <w:r>
        <w:rPr>
          <w:szCs w:val="21"/>
          <w:highlight w:val="none"/>
        </w:rPr>
        <w:t xml:space="preserve">响应文件</w:t>
      </w:r>
      <w:bookmarkEnd w:id="230"/>
      <w:r/>
      <w:bookmarkEnd w:id="231"/>
      <w:r/>
      <w:bookmarkEnd w:id="233"/>
      <w:r>
        <w:rPr>
          <w:szCs w:val="21"/>
          <w:highlight w:val="none"/>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bookmarkStart w:id="250" w:name="_Ref467052588"/>
      <w:r>
        <w:rPr>
          <w:szCs w:val="21"/>
          <w:highlight w:val="none"/>
        </w:rPr>
        <w:t xml:space="preserve">供应商应当按照竞争性磋商文件的要求编制响应文件，</w:t>
      </w:r>
      <w:r>
        <w:rPr>
          <w:szCs w:val="21"/>
          <w:highlight w:val="none"/>
        </w:rPr>
        <w:t xml:space="preserve">并对其提交的响应文件的真实性、合法性承担法律责任</w:t>
      </w:r>
      <w:r>
        <w:rPr>
          <w:szCs w:val="21"/>
          <w:highlight w:val="none"/>
        </w:rPr>
        <w:t xml:space="preserve">。响应文件的部分格式要求，见第六章《响应文件格式》。</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对于竞争性磋商文件中标记了“实质性格式”文件的，</w:t>
      </w:r>
      <w:r>
        <w:rPr>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highlight w:val="none"/>
        </w:rPr>
        <w:t xml:space="preserve">否则响应无效</w:t>
      </w:r>
      <w:r>
        <w:rPr>
          <w:szCs w:val="21"/>
          <w:highlight w:val="none"/>
        </w:rPr>
        <w:t xml:space="preserve">。未标记“实质性格式”的文件和竞争性磋商文件未提供格式的内容，可由供应商自行编写。</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第三章《评审方法和评审标准》中涉及的证明文件。</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供应商认为应附的其他材料。</w:t>
      </w:r>
      <w:bookmarkEnd w:id="250"/>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251" w:name="_Toc164608644"/>
      <w:r/>
      <w:bookmarkStart w:id="252" w:name="_Toc150774630"/>
      <w:r/>
      <w:bookmarkStart w:id="253" w:name="_Toc127151530"/>
      <w:r/>
      <w:bookmarkStart w:id="254" w:name="_Toc151193772"/>
      <w:r/>
      <w:bookmarkStart w:id="255" w:name="_Toc149720823"/>
      <w:r/>
      <w:bookmarkStart w:id="256" w:name="_Toc164608799"/>
      <w:r/>
      <w:bookmarkStart w:id="257" w:name="_Toc164229225"/>
      <w:r/>
      <w:bookmarkStart w:id="258" w:name="_Toc151190157"/>
      <w:r/>
      <w:bookmarkStart w:id="259" w:name="_Toc127161444"/>
      <w:r/>
      <w:bookmarkStart w:id="260" w:name="_Toc127151731"/>
      <w:r/>
      <w:bookmarkStart w:id="261" w:name="_Toc150480768"/>
      <w:r/>
      <w:bookmarkStart w:id="262" w:name="_Toc150509281"/>
      <w:r/>
      <w:bookmarkStart w:id="263" w:name="_Toc195842895"/>
      <w:r/>
      <w:bookmarkStart w:id="264" w:name="_Toc520356155"/>
      <w:r/>
      <w:bookmarkStart w:id="265" w:name="_Toc151193700"/>
      <w:r/>
      <w:bookmarkStart w:id="266" w:name="_Toc151193628"/>
      <w:r/>
      <w:bookmarkStart w:id="267" w:name="_Toc164351624"/>
      <w:r/>
      <w:bookmarkStart w:id="268" w:name="_Toc151193844"/>
      <w:r/>
      <w:bookmarkStart w:id="269" w:name="_Toc150774735"/>
      <w:r/>
      <w:bookmarkStart w:id="270" w:name="_Toc164229371"/>
      <w:r/>
      <w:bookmarkStart w:id="271" w:name="_Toc142311032"/>
      <w:r/>
      <w:bookmarkStart w:id="272" w:name="_Toc151193918"/>
      <w:r>
        <w:rPr>
          <w:szCs w:val="21"/>
          <w:highlight w:val="none"/>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所有响应均以人民币报价。</w:t>
      </w:r>
      <w:r>
        <w:rPr>
          <w:szCs w:val="21"/>
          <w:highlight w:val="none"/>
        </w:rPr>
      </w:r>
      <w:r/>
    </w:p>
    <w:p>
      <w:pPr>
        <w:pStyle w:val="982"/>
        <w:numPr>
          <w:ilvl w:val="1"/>
          <w:numId w:val="1"/>
        </w:numPr>
        <w:spacing w:line="360" w:lineRule="auto"/>
        <w:tabs>
          <w:tab w:val="left" w:pos="1080" w:leader="none"/>
          <w:tab w:val="left" w:pos="1589" w:leader="none"/>
        </w:tabs>
        <w:rPr>
          <w:szCs w:val="21"/>
          <w:highlight w:val="none"/>
        </w:rPr>
      </w:pPr>
      <w:r>
        <w:rPr>
          <w:szCs w:val="21"/>
          <w:highlight w:val="none"/>
        </w:rPr>
        <w:t xml:space="preserve">供应商的报价应包括为完成本项目所发生的一切费用和税费，采购人将不再支付报价以外的任何费用。</w:t>
      </w:r>
      <w:r>
        <w:rPr>
          <w:rFonts w:hint="eastAsia"/>
          <w:szCs w:val="21"/>
          <w:highlight w:val="none"/>
        </w:rPr>
        <w:t xml:space="preserve">供应商的报价应包括但不限于下列内容，《供应商须知资料表》中有特殊规定的，从其规定。</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按照竞争性磋商文件要求完成本项</w:t>
      </w:r>
      <w:r>
        <w:rPr>
          <w:rFonts w:hint="eastAsia"/>
          <w:szCs w:val="21"/>
          <w:highlight w:val="none"/>
        </w:rPr>
        <w:t xml:space="preserve">目的全部相关工程或服务费用。</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采购人不得向供应商索要或者接受其给予的赠品、回扣或者与采购无关的其他商品、服务。</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供应商不能提供任何有选择性或可调整的最终报价（</w:t>
      </w:r>
      <w:r>
        <w:rPr>
          <w:szCs w:val="21"/>
          <w:highlight w:val="none"/>
        </w:rPr>
        <w:t xml:space="preserve">竞争性磋商文件</w:t>
      </w:r>
      <w:r>
        <w:rPr>
          <w:szCs w:val="21"/>
          <w:highlight w:val="none"/>
        </w:rPr>
        <w:t xml:space="preserve">另有规定的除外），否则其</w:t>
      </w:r>
      <w:r>
        <w:rPr>
          <w:b/>
          <w:szCs w:val="21"/>
          <w:highlight w:val="none"/>
        </w:rPr>
        <w:t xml:space="preserve">响应无效</w:t>
      </w:r>
      <w:r>
        <w:rPr>
          <w:szCs w:val="21"/>
          <w:highlight w:val="none"/>
        </w:rPr>
        <w:t xml:space="preserve">。</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磋商保证金</w:t>
      </w:r>
      <w:r>
        <w:rPr>
          <w:szCs w:val="21"/>
          <w:highlight w:val="none"/>
        </w:rPr>
      </w:r>
      <w:r/>
    </w:p>
    <w:p>
      <w:pPr>
        <w:pStyle w:val="982"/>
        <w:ind w:firstLine="315"/>
        <w:spacing w:line="360" w:lineRule="auto"/>
        <w:tabs>
          <w:tab w:val="left" w:pos="360" w:leader="none"/>
        </w:tabs>
        <w:rPr>
          <w:szCs w:val="21"/>
          <w:highlight w:val="none"/>
        </w:rPr>
        <w:outlineLvl w:val="1"/>
      </w:pPr>
      <w:r>
        <w:rPr>
          <w:rFonts w:hint="eastAsia"/>
          <w:szCs w:val="21"/>
          <w:highlight w:val="none"/>
        </w:rPr>
        <w:t xml:space="preserve">根据江苏省和常州市的相关文件规定，免收保证金。</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响应有效期</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响应文件应在本竞争性磋商文件《供应商须知资料表》中规定的响应有效期内保持有效，响应有效期少于竞争性磋商文件规定期限的，其</w:t>
      </w:r>
      <w:r>
        <w:rPr>
          <w:b/>
          <w:szCs w:val="21"/>
          <w:highlight w:val="none"/>
        </w:rPr>
        <w:t xml:space="preserve">响应无效</w:t>
      </w:r>
      <w:r>
        <w:rPr>
          <w:szCs w:val="21"/>
          <w:highlight w:val="none"/>
        </w:rPr>
        <w:t xml:space="preserve">。</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273" w:name="_Toc142311035"/>
      <w:r/>
      <w:bookmarkStart w:id="274" w:name="_Toc151193703"/>
      <w:r/>
      <w:bookmarkStart w:id="275" w:name="_Toc150480771"/>
      <w:r/>
      <w:bookmarkStart w:id="276" w:name="_Toc226337229"/>
      <w:r/>
      <w:bookmarkStart w:id="277" w:name="_Toc150774633"/>
      <w:r/>
      <w:bookmarkStart w:id="278" w:name="_Toc164229374"/>
      <w:r/>
      <w:bookmarkStart w:id="279" w:name="_Toc149720826"/>
      <w:r/>
      <w:bookmarkStart w:id="280" w:name="_Toc151190160"/>
      <w:r/>
      <w:bookmarkStart w:id="281" w:name="_Toc151193775"/>
      <w:r/>
      <w:bookmarkStart w:id="282" w:name="_Toc127161447"/>
      <w:r/>
      <w:bookmarkStart w:id="283" w:name="_Toc164229228"/>
      <w:r/>
      <w:bookmarkStart w:id="284" w:name="_Toc226965806"/>
      <w:r/>
      <w:bookmarkStart w:id="285" w:name="_Toc520356158"/>
      <w:r/>
      <w:bookmarkStart w:id="286" w:name="_Toc195842898"/>
      <w:r/>
      <w:bookmarkStart w:id="287" w:name="_Toc305158875"/>
      <w:r/>
      <w:bookmarkStart w:id="288" w:name="_Toc151193847"/>
      <w:r/>
      <w:bookmarkStart w:id="289" w:name="_Toc127151734"/>
      <w:r/>
      <w:bookmarkStart w:id="290" w:name="_Toc265228371"/>
      <w:r/>
      <w:bookmarkStart w:id="291" w:name="_Toc164608802"/>
      <w:r/>
      <w:bookmarkStart w:id="292" w:name="_Toc150774738"/>
      <w:r/>
      <w:bookmarkStart w:id="293" w:name="_Toc151193921"/>
      <w:r/>
      <w:bookmarkStart w:id="294" w:name="_Toc226309777"/>
      <w:r/>
      <w:bookmarkStart w:id="295" w:name="_Toc226965723"/>
      <w:r/>
      <w:bookmarkStart w:id="296" w:name="_Toc151193631"/>
      <w:r/>
      <w:bookmarkStart w:id="297" w:name="_Toc127151533"/>
      <w:r/>
      <w:bookmarkStart w:id="298" w:name="_Toc164351627"/>
      <w:r/>
      <w:bookmarkStart w:id="299" w:name="_Toc150509284"/>
      <w:r/>
      <w:bookmarkStart w:id="300" w:name="_Toc164608647"/>
      <w:r/>
      <w:bookmarkStart w:id="301" w:name="_Toc305158801"/>
      <w:r/>
      <w:bookmarkStart w:id="302" w:name="_Toc264969223"/>
      <w:r>
        <w:rPr>
          <w:szCs w:val="21"/>
          <w:highlight w:val="none"/>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highlight w:val="none"/>
        </w:rPr>
        <w:t xml:space="preserve">、盖章</w:t>
      </w:r>
      <w:r>
        <w:rPr>
          <w:szCs w:val="21"/>
          <w:highlight w:val="none"/>
        </w:rPr>
      </w:r>
      <w:r/>
    </w:p>
    <w:p>
      <w:pPr>
        <w:pStyle w:val="982"/>
        <w:numPr>
          <w:ilvl w:val="1"/>
          <w:numId w:val="1"/>
        </w:numPr>
        <w:spacing w:line="360" w:lineRule="auto"/>
        <w:tabs>
          <w:tab w:val="left" w:pos="1080" w:leader="none"/>
          <w:tab w:val="left" w:pos="1589" w:leader="none"/>
        </w:tabs>
        <w:rPr>
          <w:szCs w:val="21"/>
          <w:highlight w:val="none"/>
        </w:rPr>
      </w:pPr>
      <w:r/>
      <w:bookmarkStart w:id="303" w:name="_Toc151193922"/>
      <w:r/>
      <w:bookmarkStart w:id="304" w:name="_Toc226337230"/>
      <w:r/>
      <w:bookmarkStart w:id="305" w:name="_Toc142311036"/>
      <w:r/>
      <w:bookmarkStart w:id="306" w:name="_Toc265228372"/>
      <w:r/>
      <w:bookmarkStart w:id="307" w:name="_Toc151193632"/>
      <w:r/>
      <w:bookmarkStart w:id="308" w:name="_Toc226965724"/>
      <w:r/>
      <w:bookmarkStart w:id="309" w:name="_Toc226965807"/>
      <w:r/>
      <w:bookmarkStart w:id="310" w:name="_Toc305158876"/>
      <w:r/>
      <w:bookmarkStart w:id="311" w:name="_Toc520356159"/>
      <w:r/>
      <w:bookmarkStart w:id="312" w:name="_Toc150480772"/>
      <w:r/>
      <w:bookmarkStart w:id="313" w:name="_Toc195842899"/>
      <w:r/>
      <w:bookmarkStart w:id="314" w:name="_Toc226309778"/>
      <w:r/>
      <w:bookmarkStart w:id="315" w:name="_Toc150774634"/>
      <w:r/>
      <w:bookmarkStart w:id="316" w:name="_Toc127151534"/>
      <w:r/>
      <w:bookmarkStart w:id="317" w:name="_Toc151190161"/>
      <w:r/>
      <w:bookmarkStart w:id="318" w:name="_Toc151193704"/>
      <w:r/>
      <w:bookmarkStart w:id="319" w:name="_Toc150774739"/>
      <w:r/>
      <w:bookmarkStart w:id="320" w:name="_Toc151193848"/>
      <w:r/>
      <w:bookmarkStart w:id="321" w:name="_Toc264969224"/>
      <w:r/>
      <w:bookmarkStart w:id="322" w:name="_Toc305158802"/>
      <w:r/>
      <w:bookmarkStart w:id="323" w:name="_Toc151193776"/>
      <w:r/>
      <w:bookmarkStart w:id="324" w:name="_Toc150509285"/>
      <w:r>
        <w:rPr>
          <w:szCs w:val="21"/>
          <w:highlight w:val="none"/>
        </w:rPr>
        <w:t xml:space="preserve">竞争性磋商文件要求签字的内容（如授权委托书等），</w:t>
      </w:r>
      <w:r>
        <w:rPr>
          <w:rFonts w:hint="eastAsia"/>
          <w:szCs w:val="21"/>
          <w:highlight w:val="none"/>
        </w:rPr>
        <w:t xml:space="preserve">可以使用电子签章或使用原件的电子件（电子件指扫描件、照片等形式电子文件）；要求</w:t>
      </w:r>
      <w:r>
        <w:rPr>
          <w:szCs w:val="21"/>
          <w:highlight w:val="none"/>
        </w:rPr>
        <w:t xml:space="preserve">第三方出具的盖章件原件（如联合协议、分包意向协议、制造商授权书原件等），响应文件中应使用原件的电子件。</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竞争性磋商文件要求盖章的内容，</w:t>
      </w:r>
      <w:r>
        <w:rPr>
          <w:rFonts w:hint="eastAsia"/>
          <w:szCs w:val="21"/>
          <w:highlight w:val="none"/>
        </w:rPr>
        <w:t xml:space="preserve">一般</w:t>
      </w:r>
      <w:r>
        <w:rPr>
          <w:szCs w:val="21"/>
          <w:highlight w:val="none"/>
        </w:rPr>
        <w:t xml:space="preserve">通过投标文件编制工具加盖电子签章。</w:t>
      </w:r>
      <w:r>
        <w:rPr>
          <w:szCs w:val="21"/>
          <w:highlight w:val="none"/>
        </w:rPr>
      </w:r>
      <w:r/>
    </w:p>
    <w:p>
      <w:pPr>
        <w:pStyle w:val="982"/>
        <w:ind w:left="357"/>
        <w:spacing w:line="360" w:lineRule="auto"/>
        <w:tabs>
          <w:tab w:val="left" w:pos="900" w:leader="none"/>
          <w:tab w:val="left" w:pos="1080" w:leader="none"/>
        </w:tabs>
        <w:rPr>
          <w:szCs w:val="21"/>
          <w:highlight w:val="none"/>
        </w:rPr>
      </w:pPr>
      <w:r>
        <w:rPr>
          <w:szCs w:val="21"/>
          <w:highlight w:val="none"/>
        </w:rPr>
      </w:r>
      <w:r/>
    </w:p>
    <w:p>
      <w:pPr>
        <w:pStyle w:val="984"/>
        <w:spacing w:before="0" w:line="360" w:lineRule="auto"/>
        <w:rPr>
          <w:rFonts w:ascii="Times New Roman" w:hAnsi="Times New Roman" w:eastAsia="宋体"/>
          <w:sz w:val="21"/>
          <w:szCs w:val="21"/>
          <w:highlight w:val="none"/>
        </w:rPr>
      </w:pPr>
      <w:r>
        <w:rPr>
          <w:rFonts w:ascii="Times New Roman" w:hAnsi="Times New Roman" w:eastAsia="宋体"/>
          <w:sz w:val="21"/>
          <w:szCs w:val="21"/>
          <w:highlight w:val="none"/>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325" w:name="_Toc520356160"/>
      <w:r/>
      <w:bookmarkStart w:id="326" w:name="_Toc150509286"/>
      <w:r/>
      <w:bookmarkStart w:id="327" w:name="_Toc164351629"/>
      <w:r/>
      <w:bookmarkStart w:id="328" w:name="_Toc226309779"/>
      <w:r/>
      <w:bookmarkStart w:id="329" w:name="_Toc226965725"/>
      <w:r/>
      <w:bookmarkStart w:id="330" w:name="_Toc150774635"/>
      <w:r/>
      <w:bookmarkStart w:id="331" w:name="_Toc151193633"/>
      <w:r/>
      <w:bookmarkStart w:id="332" w:name="_Toc265228373"/>
      <w:r/>
      <w:bookmarkStart w:id="333" w:name="_Toc150774740"/>
      <w:r/>
      <w:bookmarkStart w:id="334" w:name="_Toc164229230"/>
      <w:r/>
      <w:bookmarkStart w:id="335" w:name="_Toc151193705"/>
      <w:r/>
      <w:bookmarkStart w:id="336" w:name="_Toc150480773"/>
      <w:r/>
      <w:bookmarkStart w:id="337" w:name="_Toc226965808"/>
      <w:r/>
      <w:bookmarkStart w:id="338" w:name="_Toc151193777"/>
      <w:r/>
      <w:bookmarkStart w:id="339" w:name="_Toc195842900"/>
      <w:r/>
      <w:bookmarkStart w:id="340" w:name="_Toc127151535"/>
      <w:r/>
      <w:bookmarkStart w:id="341" w:name="_Toc264969225"/>
      <w:r/>
      <w:bookmarkStart w:id="342" w:name="_Toc151193923"/>
      <w:r/>
      <w:bookmarkStart w:id="343" w:name="_Toc142311037"/>
      <w:r/>
      <w:bookmarkStart w:id="344" w:name="_Toc226337231"/>
      <w:r/>
      <w:bookmarkStart w:id="345" w:name="_Toc305158803"/>
      <w:r/>
      <w:bookmarkStart w:id="346" w:name="_Toc164608649"/>
      <w:r/>
      <w:bookmarkStart w:id="347" w:name="_Toc127151736"/>
      <w:r/>
      <w:bookmarkStart w:id="348" w:name="_Toc151193849"/>
      <w:r/>
      <w:bookmarkStart w:id="349" w:name="_Toc127161449"/>
      <w:r/>
      <w:bookmarkStart w:id="350" w:name="_Toc164608804"/>
      <w:r/>
      <w:bookmarkStart w:id="351" w:name="_Toc305158877"/>
      <w:r/>
      <w:bookmarkStart w:id="352" w:name="_Toc164229376"/>
      <w:r/>
      <w:bookmarkStart w:id="353" w:name="_Toc151190162"/>
      <w:r/>
      <w:bookmarkStart w:id="354" w:name="_Toc149720828"/>
      <w:r>
        <w:rPr>
          <w:szCs w:val="21"/>
          <w:highlight w:val="none"/>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highlight w:val="none"/>
        </w:rPr>
        <w:t xml:space="preserve">提交</w:t>
      </w:r>
      <w:r>
        <w:rPr>
          <w:szCs w:val="21"/>
          <w:highlight w:val="none"/>
        </w:rPr>
      </w:r>
      <w:r/>
    </w:p>
    <w:p>
      <w:pPr>
        <w:pStyle w:val="982"/>
        <w:numPr>
          <w:ilvl w:val="1"/>
          <w:numId w:val="1"/>
        </w:numPr>
        <w:spacing w:line="360" w:lineRule="auto"/>
        <w:tabs>
          <w:tab w:val="left" w:pos="1080" w:leader="none"/>
          <w:tab w:val="left" w:pos="1589" w:leader="none"/>
          <w:tab w:val="left" w:pos="2014" w:leader="none"/>
        </w:tabs>
        <w:rPr>
          <w:szCs w:val="21"/>
          <w:highlight w:val="none"/>
        </w:rPr>
      </w:pPr>
      <w:r>
        <w:rPr>
          <w:szCs w:val="21"/>
          <w:highlight w:val="none"/>
        </w:rPr>
        <w:t xml:space="preserve">本项目使用</w:t>
      </w:r>
      <w:r>
        <w:rPr>
          <w:rFonts w:hint="eastAsia"/>
          <w:szCs w:val="21"/>
          <w:highlight w:val="none"/>
        </w:rPr>
        <w:t xml:space="preserve">“苏采云”政府采购交易系统</w:t>
      </w:r>
      <w:r>
        <w:rPr>
          <w:szCs w:val="21"/>
          <w:highlight w:val="none"/>
        </w:rPr>
        <w:t xml:space="preserve">。供应商根据竞争性磋商文件及</w:t>
      </w:r>
      <w:r>
        <w:rPr>
          <w:rFonts w:hint="eastAsia"/>
          <w:szCs w:val="21"/>
          <w:highlight w:val="none"/>
        </w:rPr>
        <w:t xml:space="preserve">《苏采云系统供应商操作手册》</w:t>
      </w:r>
      <w:r>
        <w:rPr>
          <w:szCs w:val="21"/>
          <w:highlight w:val="none"/>
        </w:rPr>
        <w:t xml:space="preserve">要求编制、生成并提交电子响应文件。</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采购人及采购代理机构拒绝接受通过电子交易平台以外任何形式提交的响应文件，磋商保证金除外。</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355" w:name="_Toc151193778"/>
      <w:r/>
      <w:bookmarkStart w:id="356" w:name="_Toc305158878"/>
      <w:r/>
      <w:bookmarkStart w:id="357" w:name="_Toc520356161"/>
      <w:r/>
      <w:bookmarkStart w:id="358" w:name="_Toc151193634"/>
      <w:r/>
      <w:bookmarkStart w:id="359" w:name="_Toc151193706"/>
      <w:r/>
      <w:bookmarkStart w:id="360" w:name="_Toc142311038"/>
      <w:r/>
      <w:bookmarkStart w:id="361" w:name="_Toc127161450"/>
      <w:r/>
      <w:bookmarkStart w:id="362" w:name="_Toc164608805"/>
      <w:r/>
      <w:bookmarkStart w:id="363" w:name="_Toc150774636"/>
      <w:r/>
      <w:bookmarkStart w:id="364" w:name="_Toc226309780"/>
      <w:r/>
      <w:bookmarkStart w:id="365" w:name="_Toc150509287"/>
      <w:r/>
      <w:bookmarkStart w:id="366" w:name="_Toc264969226"/>
      <w:r/>
      <w:bookmarkStart w:id="367" w:name="_Toc226965726"/>
      <w:r/>
      <w:bookmarkStart w:id="368" w:name="_Toc195842901"/>
      <w:r/>
      <w:bookmarkStart w:id="369" w:name="_Toc305158804"/>
      <w:r/>
      <w:bookmarkStart w:id="370" w:name="_Toc150480774"/>
      <w:r/>
      <w:bookmarkStart w:id="371" w:name="_Toc151190163"/>
      <w:r/>
      <w:bookmarkStart w:id="372" w:name="_Toc265228374"/>
      <w:r/>
      <w:bookmarkStart w:id="373" w:name="_Toc150774741"/>
      <w:r/>
      <w:bookmarkStart w:id="374" w:name="_Toc149720829"/>
      <w:r/>
      <w:bookmarkStart w:id="375" w:name="_Toc164229231"/>
      <w:r/>
      <w:bookmarkStart w:id="376" w:name="_Toc127151536"/>
      <w:r/>
      <w:bookmarkStart w:id="377" w:name="_Toc151193924"/>
      <w:r/>
      <w:bookmarkStart w:id="378" w:name="_Toc164351630"/>
      <w:r/>
      <w:bookmarkStart w:id="379" w:name="_Toc164608650"/>
      <w:r/>
      <w:bookmarkStart w:id="380" w:name="_Toc127151737"/>
      <w:r/>
      <w:bookmarkStart w:id="381" w:name="_Toc226965809"/>
      <w:r/>
      <w:bookmarkStart w:id="382" w:name="_Toc151193850"/>
      <w:r/>
      <w:bookmarkStart w:id="383" w:name="_Toc164229377"/>
      <w:r/>
      <w:bookmarkStart w:id="384" w:name="_Toc226337232"/>
      <w:r>
        <w:rPr>
          <w:szCs w:val="21"/>
          <w:highlight w:val="none"/>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highlight w:val="none"/>
        </w:rPr>
        <w:t xml:space="preserve">时间</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供应商应在竞争性磋商文件要求提交响应文件截止时间前，将电子响应文件提交至</w:t>
      </w:r>
      <w:r>
        <w:rPr>
          <w:rFonts w:hint="eastAsia" w:ascii="宋体" w:hAnsi="宋体"/>
          <w:bCs/>
          <w:szCs w:val="21"/>
          <w:highlight w:val="none"/>
        </w:rPr>
        <w:t xml:space="preserve">“苏采云”政府采购交易系统</w:t>
      </w:r>
      <w:r>
        <w:rPr>
          <w:szCs w:val="21"/>
          <w:highlight w:val="none"/>
        </w:rPr>
        <w:t xml:space="preserve">。</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385" w:name="_Toc149720830"/>
      <w:r/>
      <w:bookmarkStart w:id="386" w:name="_Toc127161451"/>
      <w:r/>
      <w:bookmarkStart w:id="387" w:name="_Toc151193851"/>
      <w:r/>
      <w:bookmarkStart w:id="388" w:name="_Toc164229232"/>
      <w:r/>
      <w:bookmarkStart w:id="389" w:name="_Toc151193707"/>
      <w:r/>
      <w:bookmarkStart w:id="390" w:name="_Toc151190164"/>
      <w:r/>
      <w:bookmarkStart w:id="391" w:name="_Toc226965810"/>
      <w:r/>
      <w:bookmarkStart w:id="392" w:name="_Toc150774637"/>
      <w:r/>
      <w:bookmarkStart w:id="393" w:name="_Toc305158879"/>
      <w:r/>
      <w:bookmarkStart w:id="394" w:name="_Toc142311039"/>
      <w:r/>
      <w:bookmarkStart w:id="395" w:name="_Toc127151738"/>
      <w:r/>
      <w:bookmarkStart w:id="396" w:name="_Toc226337233"/>
      <w:r/>
      <w:bookmarkStart w:id="397" w:name="_Toc151193925"/>
      <w:r/>
      <w:bookmarkStart w:id="398" w:name="_Toc164229378"/>
      <w:r/>
      <w:bookmarkStart w:id="399" w:name="_Toc520356162"/>
      <w:r/>
      <w:bookmarkStart w:id="400" w:name="_Toc226965727"/>
      <w:r/>
      <w:bookmarkStart w:id="401" w:name="_Toc164608806"/>
      <w:r/>
      <w:bookmarkStart w:id="402" w:name="_Toc150774742"/>
      <w:r/>
      <w:bookmarkStart w:id="403" w:name="_Toc151193779"/>
      <w:r/>
      <w:bookmarkStart w:id="404" w:name="_Toc150480775"/>
      <w:r/>
      <w:bookmarkStart w:id="405" w:name="_Toc151193635"/>
      <w:r/>
      <w:bookmarkStart w:id="406" w:name="_Toc150509288"/>
      <w:r/>
      <w:bookmarkStart w:id="407" w:name="_Toc264969227"/>
      <w:r/>
      <w:bookmarkStart w:id="408" w:name="_Toc265228375"/>
      <w:r/>
      <w:bookmarkStart w:id="409" w:name="_Toc164351631"/>
      <w:r/>
      <w:bookmarkStart w:id="410" w:name="_Toc226309781"/>
      <w:r/>
      <w:bookmarkStart w:id="411" w:name="_Toc195842902"/>
      <w:r/>
      <w:bookmarkStart w:id="412" w:name="_Toc127151537"/>
      <w:r/>
      <w:bookmarkStart w:id="413" w:name="_Toc305158805"/>
      <w:r/>
      <w:bookmarkStart w:id="414" w:name="_Toc164608651"/>
      <w:r>
        <w:rPr>
          <w:szCs w:val="21"/>
          <w:highlight w:val="none"/>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提交响应文件截止时间前，供应商可以通过电子交易平台对所提交的响应文件进行补充、修改或者撤回。磋商保证金</w:t>
      </w:r>
      <w:r>
        <w:rPr>
          <w:rFonts w:hint="eastAsia"/>
          <w:szCs w:val="21"/>
          <w:highlight w:val="none"/>
        </w:rPr>
        <w:t xml:space="preserve">的</w:t>
      </w:r>
      <w:r>
        <w:rPr>
          <w:szCs w:val="21"/>
          <w:highlight w:val="none"/>
        </w:rPr>
        <w:t xml:space="preserve">补充、修改或者撤回</w:t>
      </w:r>
      <w:r>
        <w:rPr>
          <w:rFonts w:hint="eastAsia"/>
          <w:szCs w:val="21"/>
          <w:highlight w:val="none"/>
        </w:rPr>
        <w:t xml:space="preserve">无需</w:t>
      </w:r>
      <w:r>
        <w:rPr>
          <w:szCs w:val="21"/>
          <w:highlight w:val="none"/>
        </w:rPr>
        <w:t xml:space="preserve">通过电子交易平台</w:t>
      </w:r>
      <w:r>
        <w:rPr>
          <w:rFonts w:hint="eastAsia"/>
          <w:szCs w:val="21"/>
          <w:highlight w:val="none"/>
        </w:rPr>
        <w:t xml:space="preserve">，</w:t>
      </w:r>
      <w:r>
        <w:rPr>
          <w:szCs w:val="21"/>
          <w:highlight w:val="none"/>
        </w:rPr>
        <w:t xml:space="preserve">但应</w:t>
      </w:r>
      <w:r>
        <w:rPr>
          <w:rFonts w:hint="eastAsia"/>
          <w:szCs w:val="21"/>
          <w:highlight w:val="none"/>
        </w:rPr>
        <w:t xml:space="preserve">就其</w:t>
      </w:r>
      <w:r>
        <w:rPr>
          <w:szCs w:val="21"/>
          <w:highlight w:val="none"/>
        </w:rPr>
        <w:t xml:space="preserve">补充、修改或者撤回</w:t>
      </w:r>
      <w:r>
        <w:rPr>
          <w:rFonts w:hint="eastAsia"/>
          <w:szCs w:val="21"/>
          <w:highlight w:val="none"/>
        </w:rPr>
        <w:t xml:space="preserve">通知</w:t>
      </w:r>
      <w:r>
        <w:rPr>
          <w:szCs w:val="21"/>
          <w:highlight w:val="none"/>
        </w:rPr>
        <w:t xml:space="preserve">采购人或采购代理机构。</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供应商对响应文件的补充、修改的内容应当按照竞争性磋商文件要求签署、盖章，作为响应文件的组成部分。</w:t>
      </w:r>
      <w:r>
        <w:rPr>
          <w:szCs w:val="21"/>
          <w:highlight w:val="none"/>
        </w:rPr>
        <w:t xml:space="preserve">补充、修改的内容与响应文件不一致的，以补充、修改的内容为准。</w:t>
      </w:r>
      <w:r>
        <w:rPr>
          <w:szCs w:val="21"/>
          <w:highlight w:val="none"/>
        </w:rPr>
      </w:r>
      <w:r/>
    </w:p>
    <w:p>
      <w:pPr>
        <w:pStyle w:val="982"/>
        <w:ind w:left="357"/>
        <w:spacing w:line="360" w:lineRule="auto"/>
        <w:tabs>
          <w:tab w:val="left" w:pos="900" w:leader="none"/>
          <w:tab w:val="left" w:pos="1080" w:leader="none"/>
          <w:tab w:val="left" w:pos="1589" w:leader="none"/>
        </w:tabs>
        <w:rPr>
          <w:szCs w:val="21"/>
          <w:highlight w:val="none"/>
        </w:rPr>
      </w:pPr>
      <w:r>
        <w:rPr>
          <w:szCs w:val="21"/>
          <w:highlight w:val="none"/>
        </w:rPr>
      </w:r>
      <w:r/>
    </w:p>
    <w:p>
      <w:pPr>
        <w:pStyle w:val="984"/>
        <w:spacing w:before="0" w:line="360" w:lineRule="auto"/>
        <w:rPr>
          <w:rFonts w:ascii="Times New Roman" w:hAnsi="Times New Roman" w:eastAsia="宋体"/>
          <w:sz w:val="21"/>
          <w:szCs w:val="21"/>
          <w:highlight w:val="none"/>
        </w:rPr>
      </w:pPr>
      <w:r/>
      <w:bookmarkStart w:id="415" w:name="_Toc520356163"/>
      <w:r/>
      <w:bookmarkStart w:id="416" w:name="_Toc151193780"/>
      <w:r/>
      <w:bookmarkStart w:id="417" w:name="_Toc151193708"/>
      <w:r/>
      <w:bookmarkStart w:id="418" w:name="_Toc305158806"/>
      <w:r/>
      <w:bookmarkStart w:id="419" w:name="_Toc150509289"/>
      <w:r/>
      <w:bookmarkStart w:id="420" w:name="_Toc151190165"/>
      <w:r/>
      <w:bookmarkStart w:id="421" w:name="_Toc151193636"/>
      <w:r/>
      <w:bookmarkStart w:id="422" w:name="_Toc226309782"/>
      <w:r/>
      <w:bookmarkStart w:id="423" w:name="_Toc264969228"/>
      <w:r/>
      <w:bookmarkStart w:id="424" w:name="_Toc226337234"/>
      <w:r/>
      <w:bookmarkStart w:id="425" w:name="_Toc151193926"/>
      <w:r/>
      <w:bookmarkStart w:id="426" w:name="_Toc142311040"/>
      <w:r/>
      <w:bookmarkStart w:id="427" w:name="_Toc226965728"/>
      <w:r/>
      <w:bookmarkStart w:id="428" w:name="_Toc265228376"/>
      <w:r/>
      <w:bookmarkStart w:id="429" w:name="_Toc150774743"/>
      <w:r/>
      <w:bookmarkStart w:id="430" w:name="_Toc127151538"/>
      <w:r/>
      <w:bookmarkStart w:id="431" w:name="_Toc226965811"/>
      <w:r/>
      <w:bookmarkStart w:id="432" w:name="_Toc151193852"/>
      <w:r/>
      <w:bookmarkStart w:id="433" w:name="_Toc305158880"/>
      <w:r/>
      <w:bookmarkStart w:id="434" w:name="_Toc150480776"/>
      <w:r/>
      <w:bookmarkStart w:id="435" w:name="_Toc195842903"/>
      <w:r/>
      <w:bookmarkStart w:id="436" w:name="_Toc150774638"/>
      <w:r>
        <w:rPr>
          <w:rFonts w:ascii="Times New Roman" w:hAnsi="Times New Roman" w:eastAsia="宋体"/>
          <w:sz w:val="21"/>
          <w:szCs w:val="21"/>
          <w:highlight w:val="none"/>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highlight w:val="none"/>
        </w:rPr>
        <w:t xml:space="preserve">评审</w:t>
      </w:r>
      <w:r>
        <w:rPr>
          <w:rFonts w:ascii="Times New Roman" w:hAnsi="Times New Roman" w:eastAsia="宋体"/>
          <w:sz w:val="21"/>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响应文件的</w:t>
      </w:r>
      <w:r>
        <w:rPr>
          <w:rFonts w:hint="eastAsia"/>
          <w:szCs w:val="21"/>
          <w:highlight w:val="none"/>
        </w:rPr>
        <w:t xml:space="preserve">解密与</w:t>
      </w:r>
      <w:r>
        <w:rPr>
          <w:szCs w:val="21"/>
          <w:highlight w:val="none"/>
        </w:rPr>
        <w:t xml:space="preserve">开启</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采购人或采购代理机构将按竞争性磋商文件的规定，在响应文件提交截止时间的同一时间和竞争性磋商文件预先确定的地点开启响应文件。</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本项目</w:t>
      </w:r>
      <w:r>
        <w:rPr>
          <w:rFonts w:ascii="宋体" w:hAnsi="宋体"/>
          <w:szCs w:val="21"/>
          <w:highlight w:val="none"/>
        </w:rPr>
        <w:t xml:space="preserve">采用不见面招</w:t>
      </w:r>
      <w:r>
        <w:rPr>
          <w:rFonts w:hint="eastAsia" w:ascii="宋体" w:hAnsi="宋体"/>
          <w:szCs w:val="21"/>
          <w:highlight w:val="none"/>
        </w:rPr>
        <w:t xml:space="preserve">交易</w:t>
      </w:r>
      <w:r>
        <w:rPr>
          <w:rFonts w:ascii="宋体" w:hAnsi="宋体"/>
          <w:szCs w:val="21"/>
          <w:highlight w:val="none"/>
        </w:rPr>
        <w:t xml:space="preserve">模式</w:t>
      </w:r>
      <w:r>
        <w:rPr>
          <w:rFonts w:hint="eastAsia" w:ascii="宋体" w:hAnsi="宋体"/>
          <w:szCs w:val="21"/>
          <w:highlight w:val="none"/>
        </w:rPr>
        <w:t xml:space="preserve">，</w:t>
      </w:r>
      <w:r>
        <w:rPr>
          <w:szCs w:val="21"/>
          <w:highlight w:val="none"/>
        </w:rPr>
        <w:t xml:space="preserve">使用</w:t>
      </w:r>
      <w:r>
        <w:rPr>
          <w:rFonts w:hint="eastAsia" w:ascii="宋体" w:hAnsi="宋体"/>
          <w:bCs/>
          <w:szCs w:val="21"/>
          <w:highlight w:val="none"/>
        </w:rPr>
        <w:t xml:space="preserve">“苏采云”政府采购交易系统</w:t>
      </w:r>
      <w:r>
        <w:rPr>
          <w:rFonts w:hint="eastAsia"/>
          <w:szCs w:val="21"/>
          <w:highlight w:val="none"/>
        </w:rPr>
        <w:t xml:space="preserve">在线进行</w:t>
      </w:r>
      <w:r>
        <w:rPr>
          <w:szCs w:val="21"/>
          <w:highlight w:val="none"/>
        </w:rPr>
        <w:t xml:space="preserve">解密。供应商应在规定的时间内对</w:t>
      </w:r>
      <w:r>
        <w:rPr>
          <w:rFonts w:hint="eastAsia"/>
          <w:szCs w:val="21"/>
          <w:highlight w:val="none"/>
        </w:rPr>
        <w:t xml:space="preserve">响应</w:t>
      </w:r>
      <w:r>
        <w:rPr>
          <w:szCs w:val="21"/>
          <w:highlight w:val="none"/>
        </w:rPr>
        <w:t xml:space="preserve">文件进行解密，因非系统原因导致的解密失败，视为</w:t>
      </w:r>
      <w:r>
        <w:rPr>
          <w:b/>
          <w:szCs w:val="21"/>
          <w:highlight w:val="none"/>
        </w:rPr>
        <w:t xml:space="preserve">响应无效</w:t>
      </w:r>
      <w:r>
        <w:rPr>
          <w:szCs w:val="21"/>
          <w:highlight w:val="none"/>
        </w:rPr>
        <w:t xml:space="preserve">。</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供应商不足3家的，不予解密。</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rFonts w:hint="eastAsia"/>
          <w:szCs w:val="21"/>
          <w:highlight w:val="none"/>
        </w:rPr>
      </w:pPr>
      <w:r/>
      <w:bookmarkStart w:id="437" w:name="_Toc520356165"/>
      <w:r>
        <w:rPr>
          <w:szCs w:val="21"/>
          <w:highlight w:val="none"/>
        </w:rPr>
        <w:t xml:space="preserve">本项目不公开报价。</w:t>
      </w:r>
      <w:r>
        <w:rPr>
          <w:rFonts w:hint="eastAsia"/>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供应商须在开标前使用“验证CA”功能验证本地计算机的控件环境是否正常，并且在</w:t>
      </w:r>
      <w:r>
        <w:rPr>
          <w:rFonts w:hint="eastAsia"/>
          <w:szCs w:val="21"/>
          <w:highlight w:val="none"/>
        </w:rPr>
        <w:t xml:space="preserve">解密、评审</w:t>
      </w:r>
      <w:r>
        <w:rPr>
          <w:szCs w:val="21"/>
          <w:highlight w:val="none"/>
        </w:rPr>
        <w:t xml:space="preserve">过程中不可随意更换</w:t>
      </w:r>
      <w:r>
        <w:rPr>
          <w:rFonts w:hint="eastAsia"/>
          <w:szCs w:val="21"/>
          <w:highlight w:val="none"/>
        </w:rPr>
        <w:t xml:space="preserve">计算机</w:t>
      </w:r>
      <w:r>
        <w:rPr>
          <w:szCs w:val="21"/>
          <w:highlight w:val="none"/>
        </w:rPr>
        <w:t xml:space="preserve">，必须使用验证成功的计算机进行操作，否则造成相应后果由供应商自行承担。本地计算机</w:t>
      </w:r>
      <w:r>
        <w:rPr>
          <w:rFonts w:hint="eastAsia"/>
          <w:szCs w:val="21"/>
          <w:highlight w:val="none"/>
        </w:rPr>
        <w:t xml:space="preserve">要求安装摄像头、麦克风和音箱，保持网络通畅。</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rFonts w:hint="eastAsia"/>
          <w:szCs w:val="21"/>
          <w:highlight w:val="none"/>
        </w:rPr>
      </w:pPr>
      <w:r>
        <w:rPr>
          <w:rFonts w:hint="eastAsia"/>
          <w:szCs w:val="21"/>
          <w:highlight w:val="none"/>
        </w:rPr>
        <w:t xml:space="preserve">因本项目</w:t>
      </w:r>
      <w:r>
        <w:rPr>
          <w:szCs w:val="21"/>
          <w:highlight w:val="none"/>
        </w:rPr>
        <w:t xml:space="preserve">采用不见面交易的</w:t>
      </w:r>
      <w:r>
        <w:rPr>
          <w:rFonts w:hint="eastAsia"/>
          <w:szCs w:val="21"/>
          <w:highlight w:val="none"/>
        </w:rPr>
        <w:t xml:space="preserve">方式</w:t>
      </w:r>
      <w:r>
        <w:rPr>
          <w:szCs w:val="21"/>
          <w:highlight w:val="none"/>
        </w:rPr>
        <w:t xml:space="preserve">，在</w:t>
      </w:r>
      <w:r>
        <w:rPr>
          <w:rFonts w:hint="eastAsia"/>
          <w:szCs w:val="21"/>
          <w:highlight w:val="none"/>
        </w:rPr>
        <w:t xml:space="preserve">解密、评审</w:t>
      </w:r>
      <w:r>
        <w:rPr>
          <w:szCs w:val="21"/>
          <w:highlight w:val="none"/>
        </w:rPr>
        <w:t xml:space="preserve">过程中，</w:t>
      </w:r>
      <w:r>
        <w:rPr>
          <w:rFonts w:hint="eastAsia"/>
          <w:szCs w:val="21"/>
          <w:highlight w:val="none"/>
        </w:rPr>
        <w:t xml:space="preserve">供应商</w:t>
      </w:r>
      <w:r>
        <w:rPr>
          <w:szCs w:val="21"/>
          <w:highlight w:val="none"/>
        </w:rPr>
        <w:t xml:space="preserve">需</w:t>
      </w:r>
      <w:r>
        <w:rPr>
          <w:rFonts w:hint="eastAsia"/>
          <w:szCs w:val="21"/>
          <w:highlight w:val="none"/>
        </w:rPr>
        <w:t xml:space="preserve">要</w:t>
      </w:r>
      <w:r>
        <w:rPr>
          <w:szCs w:val="21"/>
          <w:highlight w:val="none"/>
        </w:rPr>
        <w:t xml:space="preserve">保持操作计算机前有相关责任人</w:t>
      </w:r>
      <w:r>
        <w:rPr>
          <w:rFonts w:hint="eastAsia"/>
          <w:szCs w:val="21"/>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highlight w:val="none"/>
        </w:rPr>
        <w:t xml:space="preserve">。</w:t>
      </w:r>
      <w:r>
        <w:rPr>
          <w:rFonts w:hint="eastAsia"/>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rFonts w:hint="eastAsia"/>
          <w:szCs w:val="21"/>
          <w:highlight w:val="none"/>
        </w:rPr>
        <w:t xml:space="preserve">如果在</w:t>
      </w:r>
      <w:r>
        <w:rPr>
          <w:szCs w:val="21"/>
          <w:highlight w:val="none"/>
        </w:rPr>
        <w:t xml:space="preserve">采购</w:t>
      </w:r>
      <w:r>
        <w:rPr>
          <w:rFonts w:hint="eastAsia"/>
          <w:szCs w:val="21"/>
          <w:highlight w:val="none"/>
        </w:rPr>
        <w:t xml:space="preserve">活动</w:t>
      </w:r>
      <w:r>
        <w:rPr>
          <w:szCs w:val="21"/>
          <w:highlight w:val="none"/>
        </w:rPr>
        <w:t xml:space="preserve">过程中出现以下情形，导致</w:t>
      </w:r>
      <w:r>
        <w:rPr>
          <w:rFonts w:hint="eastAsia" w:ascii="宋体" w:hAnsi="宋体"/>
          <w:bCs/>
          <w:szCs w:val="21"/>
          <w:highlight w:val="none"/>
        </w:rPr>
        <w:t xml:space="preserve">“苏采云”政府采购交易系统</w:t>
      </w:r>
      <w:r>
        <w:rPr>
          <w:szCs w:val="21"/>
          <w:highlight w:val="none"/>
        </w:rPr>
        <w:t xml:space="preserve">无法正常运行，或者无法保证</w:t>
      </w:r>
      <w:r>
        <w:rPr>
          <w:rFonts w:hint="eastAsia"/>
          <w:szCs w:val="21"/>
          <w:highlight w:val="none"/>
        </w:rPr>
        <w:t xml:space="preserve">本项目采购活动</w:t>
      </w:r>
      <w:r>
        <w:rPr>
          <w:szCs w:val="21"/>
          <w:highlight w:val="none"/>
        </w:rPr>
        <w:t xml:space="preserve">的公平、公正和安全时，</w:t>
      </w:r>
      <w:r>
        <w:rPr>
          <w:rFonts w:hint="eastAsia"/>
          <w:szCs w:val="21"/>
          <w:highlight w:val="none"/>
        </w:rPr>
        <w:t xml:space="preserve">代理机构</w:t>
      </w:r>
      <w:r>
        <w:rPr>
          <w:szCs w:val="21"/>
          <w:highlight w:val="none"/>
        </w:rPr>
        <w:t xml:space="preserve">可</w:t>
      </w:r>
      <w:r>
        <w:rPr>
          <w:rFonts w:hint="eastAsia"/>
          <w:szCs w:val="21"/>
          <w:highlight w:val="none"/>
        </w:rPr>
        <w:t xml:space="preserve">以延缓或者暂停采购活动，情况严重的可以终止采购</w:t>
      </w:r>
      <w:r>
        <w:rPr>
          <w:szCs w:val="21"/>
          <w:highlight w:val="none"/>
        </w:rPr>
        <w:t xml:space="preserve">活动：</w:t>
      </w:r>
      <w:r>
        <w:rPr>
          <w:szCs w:val="21"/>
          <w:highlight w:val="none"/>
        </w:rPr>
        <w:br w:type="textWrapping" w:clear="all"/>
      </w:r>
      <w:r>
        <w:rPr>
          <w:rFonts w:hint="eastAsia"/>
          <w:szCs w:val="21"/>
          <w:highlight w:val="none"/>
        </w:rPr>
        <w:t xml:space="preserve">1)</w:t>
      </w:r>
      <w:r>
        <w:rPr>
          <w:szCs w:val="21"/>
          <w:highlight w:val="none"/>
        </w:rPr>
        <w:t xml:space="preserve">平台</w:t>
      </w:r>
      <w:r>
        <w:rPr>
          <w:rFonts w:hint="eastAsia"/>
          <w:szCs w:val="21"/>
          <w:highlight w:val="none"/>
        </w:rPr>
        <w:t xml:space="preserve">系统</w:t>
      </w:r>
      <w:r>
        <w:rPr>
          <w:szCs w:val="21"/>
          <w:highlight w:val="none"/>
        </w:rPr>
        <w:t xml:space="preserve">发生故障而无法登录访问的；</w:t>
      </w:r>
      <w:r>
        <w:rPr>
          <w:szCs w:val="21"/>
          <w:highlight w:val="none"/>
        </w:rPr>
      </w:r>
      <w:r/>
    </w:p>
    <w:p>
      <w:pPr>
        <w:pStyle w:val="982"/>
        <w:ind w:left="357" w:firstLine="678"/>
        <w:spacing w:line="360" w:lineRule="auto"/>
        <w:tabs>
          <w:tab w:val="left" w:pos="1080" w:leader="none"/>
          <w:tab w:val="left" w:pos="1589" w:leader="none"/>
          <w:tab w:val="left" w:pos="2014" w:leader="none"/>
        </w:tabs>
        <w:rPr>
          <w:szCs w:val="21"/>
          <w:highlight w:val="none"/>
        </w:rPr>
      </w:pPr>
      <w:r>
        <w:rPr>
          <w:rFonts w:hint="eastAsia"/>
          <w:szCs w:val="21"/>
          <w:highlight w:val="none"/>
        </w:rPr>
        <w:t xml:space="preserve">2)</w:t>
      </w:r>
      <w:r>
        <w:rPr>
          <w:szCs w:val="21"/>
          <w:highlight w:val="none"/>
        </w:rPr>
        <w:t xml:space="preserve">平台</w:t>
      </w:r>
      <w:r>
        <w:rPr>
          <w:rFonts w:hint="eastAsia"/>
          <w:szCs w:val="21"/>
          <w:highlight w:val="none"/>
        </w:rPr>
        <w:t xml:space="preserve">系统</w:t>
      </w:r>
      <w:r>
        <w:rPr>
          <w:szCs w:val="21"/>
          <w:highlight w:val="none"/>
        </w:rPr>
        <w:t xml:space="preserve">应用或数据库出现错误，不能进行正常操作的；</w:t>
      </w:r>
      <w:r>
        <w:rPr>
          <w:szCs w:val="21"/>
          <w:highlight w:val="none"/>
        </w:rPr>
      </w:r>
      <w:r/>
    </w:p>
    <w:p>
      <w:pPr>
        <w:pStyle w:val="982"/>
        <w:ind w:left="357" w:firstLine="735"/>
        <w:spacing w:line="360" w:lineRule="auto"/>
        <w:tabs>
          <w:tab w:val="left" w:pos="1080" w:leader="none"/>
          <w:tab w:val="left" w:pos="1589" w:leader="none"/>
          <w:tab w:val="left" w:pos="2014" w:leader="none"/>
        </w:tabs>
        <w:rPr>
          <w:szCs w:val="21"/>
          <w:highlight w:val="none"/>
        </w:rPr>
      </w:pPr>
      <w:r>
        <w:rPr>
          <w:rFonts w:hint="eastAsia"/>
          <w:szCs w:val="21"/>
          <w:highlight w:val="none"/>
        </w:rPr>
        <w:t xml:space="preserve">3)</w:t>
      </w:r>
      <w:r>
        <w:rPr>
          <w:szCs w:val="21"/>
          <w:highlight w:val="none"/>
        </w:rPr>
        <w:t xml:space="preserve">平台</w:t>
      </w:r>
      <w:r>
        <w:rPr>
          <w:rFonts w:hint="eastAsia"/>
          <w:szCs w:val="21"/>
          <w:highlight w:val="none"/>
        </w:rPr>
        <w:t xml:space="preserve">系统</w:t>
      </w:r>
      <w:r>
        <w:rPr>
          <w:szCs w:val="21"/>
          <w:highlight w:val="none"/>
        </w:rPr>
        <w:t xml:space="preserve">发现严重安全漏洞，有潜在泄密危险的；</w:t>
      </w:r>
      <w:r>
        <w:rPr>
          <w:szCs w:val="21"/>
          <w:highlight w:val="none"/>
        </w:rPr>
      </w:r>
      <w:r/>
    </w:p>
    <w:p>
      <w:pPr>
        <w:pStyle w:val="982"/>
        <w:ind w:left="357" w:firstLine="735"/>
        <w:spacing w:line="360" w:lineRule="auto"/>
        <w:tabs>
          <w:tab w:val="left" w:pos="1080" w:leader="none"/>
          <w:tab w:val="left" w:pos="1589" w:leader="none"/>
          <w:tab w:val="left" w:pos="2014" w:leader="none"/>
        </w:tabs>
        <w:rPr>
          <w:szCs w:val="21"/>
          <w:highlight w:val="none"/>
        </w:rPr>
      </w:pPr>
      <w:r>
        <w:rPr>
          <w:rFonts w:hint="eastAsia"/>
          <w:szCs w:val="21"/>
          <w:highlight w:val="none"/>
        </w:rPr>
        <w:t xml:space="preserve">4)</w:t>
      </w:r>
      <w:r>
        <w:rPr>
          <w:szCs w:val="21"/>
          <w:highlight w:val="none"/>
        </w:rPr>
        <w:t xml:space="preserve">病毒发作导致平台</w:t>
      </w:r>
      <w:r>
        <w:rPr>
          <w:rFonts w:hint="eastAsia"/>
          <w:szCs w:val="21"/>
          <w:highlight w:val="none"/>
        </w:rPr>
        <w:t xml:space="preserve">系统</w:t>
      </w:r>
      <w:r>
        <w:rPr>
          <w:szCs w:val="21"/>
          <w:highlight w:val="none"/>
        </w:rPr>
        <w:t xml:space="preserve">不能进行正常操作的；</w:t>
      </w:r>
      <w:r>
        <w:rPr>
          <w:szCs w:val="21"/>
          <w:highlight w:val="none"/>
        </w:rPr>
      </w:r>
      <w:r/>
    </w:p>
    <w:p>
      <w:pPr>
        <w:pStyle w:val="982"/>
        <w:ind w:left="357" w:firstLine="735"/>
        <w:spacing w:line="360" w:lineRule="auto"/>
        <w:tabs>
          <w:tab w:val="left" w:pos="1080" w:leader="none"/>
          <w:tab w:val="left" w:pos="1589" w:leader="none"/>
          <w:tab w:val="left" w:pos="2014" w:leader="none"/>
        </w:tabs>
        <w:rPr>
          <w:rFonts w:hint="eastAsia"/>
          <w:szCs w:val="21"/>
          <w:highlight w:val="none"/>
        </w:rPr>
      </w:pPr>
      <w:r>
        <w:rPr>
          <w:rFonts w:hint="eastAsia"/>
          <w:szCs w:val="21"/>
          <w:highlight w:val="none"/>
        </w:rPr>
        <w:t xml:space="preserve">5)</w:t>
      </w:r>
      <w:r>
        <w:rPr>
          <w:szCs w:val="21"/>
          <w:highlight w:val="none"/>
        </w:rPr>
        <w:t xml:space="preserve">其他无法保证</w:t>
      </w:r>
      <w:r>
        <w:rPr>
          <w:rFonts w:hint="eastAsia"/>
          <w:szCs w:val="21"/>
          <w:highlight w:val="none"/>
        </w:rPr>
        <w:t xml:space="preserve">本次采购活动</w:t>
      </w:r>
      <w:r>
        <w:rPr>
          <w:szCs w:val="21"/>
          <w:highlight w:val="none"/>
        </w:rPr>
        <w:t xml:space="preserve">的公平、公正和安全的情况。</w:t>
      </w:r>
      <w:r>
        <w:rPr>
          <w:rFonts w:hint="eastAsia"/>
          <w:szCs w:val="21"/>
          <w:highlight w:val="none"/>
        </w:rPr>
      </w:r>
      <w:r/>
    </w:p>
    <w:p>
      <w:pPr>
        <w:pStyle w:val="982"/>
        <w:ind w:firstLine="420"/>
        <w:spacing w:line="360" w:lineRule="auto"/>
        <w:tabs>
          <w:tab w:val="left" w:pos="993" w:leader="none"/>
          <w:tab w:val="left" w:pos="1589" w:leader="none"/>
          <w:tab w:val="left" w:pos="2014" w:leader="none"/>
        </w:tabs>
        <w:rPr>
          <w:szCs w:val="21"/>
          <w:highlight w:val="none"/>
        </w:rPr>
      </w:pPr>
      <w:r>
        <w:rPr>
          <w:szCs w:val="21"/>
          <w:highlight w:val="none"/>
        </w:rPr>
        <w:t xml:space="preserve">出现</w:t>
      </w:r>
      <w:r>
        <w:rPr>
          <w:rFonts w:hint="eastAsia"/>
          <w:szCs w:val="21"/>
          <w:highlight w:val="none"/>
        </w:rPr>
        <w:t xml:space="preserve">上述</w:t>
      </w:r>
      <w:r>
        <w:rPr>
          <w:szCs w:val="21"/>
          <w:highlight w:val="none"/>
        </w:rPr>
        <w:t xml:space="preserve">情形，不影响采购</w:t>
      </w:r>
      <w:r>
        <w:rPr>
          <w:rFonts w:hint="eastAsia"/>
          <w:szCs w:val="21"/>
          <w:highlight w:val="none"/>
        </w:rPr>
        <w:t xml:space="preserve">活动</w:t>
      </w:r>
      <w:r>
        <w:rPr>
          <w:szCs w:val="21"/>
          <w:highlight w:val="none"/>
        </w:rPr>
        <w:t xml:space="preserve">公平、公正性的，</w:t>
      </w:r>
      <w:r>
        <w:rPr>
          <w:rFonts w:hint="eastAsia"/>
          <w:szCs w:val="21"/>
          <w:highlight w:val="none"/>
        </w:rPr>
        <w:t xml:space="preserve">代理机构</w:t>
      </w:r>
      <w:r>
        <w:rPr>
          <w:szCs w:val="21"/>
          <w:highlight w:val="none"/>
        </w:rPr>
        <w:t xml:space="preserve">可以待上述情形消除后继续组织</w:t>
      </w:r>
      <w:r>
        <w:rPr>
          <w:rFonts w:hint="eastAsia"/>
          <w:szCs w:val="21"/>
          <w:highlight w:val="none"/>
        </w:rPr>
        <w:t xml:space="preserve">不见面</w:t>
      </w:r>
      <w:r>
        <w:rPr>
          <w:szCs w:val="21"/>
          <w:highlight w:val="none"/>
        </w:rPr>
        <w:t xml:space="preserve">交易</w:t>
      </w:r>
      <w:r>
        <w:rPr>
          <w:rFonts w:hint="eastAsia"/>
          <w:szCs w:val="21"/>
          <w:highlight w:val="none"/>
        </w:rPr>
        <w:t xml:space="preserve">采购</w:t>
      </w:r>
      <w:r>
        <w:rPr>
          <w:szCs w:val="21"/>
          <w:highlight w:val="none"/>
        </w:rPr>
        <w:t xml:space="preserve">活动，也可以决定某些环节以纸质形式进行；影响或可能影响采购</w:t>
      </w:r>
      <w:r>
        <w:rPr>
          <w:rFonts w:hint="eastAsia"/>
          <w:szCs w:val="21"/>
          <w:highlight w:val="none"/>
        </w:rPr>
        <w:t xml:space="preserve">活动</w:t>
      </w:r>
      <w:r>
        <w:rPr>
          <w:szCs w:val="21"/>
          <w:highlight w:val="none"/>
        </w:rPr>
        <w:t xml:space="preserve">公平、公正性的，应当</w:t>
      </w:r>
      <w:r>
        <w:rPr>
          <w:rFonts w:hint="eastAsia"/>
          <w:szCs w:val="21"/>
          <w:highlight w:val="none"/>
        </w:rPr>
        <w:t xml:space="preserve">终止本次项目，</w:t>
      </w:r>
      <w:r>
        <w:rPr>
          <w:szCs w:val="21"/>
          <w:highlight w:val="none"/>
        </w:rPr>
        <w:t xml:space="preserve">重新</w:t>
      </w:r>
      <w:r>
        <w:rPr>
          <w:rFonts w:hint="eastAsia"/>
          <w:szCs w:val="21"/>
          <w:highlight w:val="none"/>
        </w:rPr>
        <w:t xml:space="preserve">组织</w:t>
      </w:r>
      <w:r>
        <w:rPr>
          <w:szCs w:val="21"/>
          <w:highlight w:val="none"/>
        </w:rPr>
        <w:t xml:space="preserve">采购。</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End w:id="437"/>
      <w:r>
        <w:rPr>
          <w:szCs w:val="21"/>
          <w:highlight w:val="none"/>
        </w:rPr>
        <w:t xml:space="preserve">磋商小组</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磋商小组根据政府采购有关规定和本次采购项目的特点进行组建，并负责具体评审事务，独立履行职责。</w:t>
      </w:r>
      <w:bookmarkStart w:id="438" w:name="_Toc520356166"/>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评审专家须符合</w:t>
      </w:r>
      <w:r>
        <w:rPr>
          <w:rFonts w:hint="eastAsia"/>
          <w:szCs w:val="21"/>
          <w:highlight w:val="none"/>
        </w:rPr>
        <w:t xml:space="preserve">相关</w:t>
      </w:r>
      <w:r>
        <w:rPr>
          <w:szCs w:val="21"/>
          <w:highlight w:val="none"/>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highlight w:val="none"/>
        </w:rPr>
      </w:r>
      <w:r/>
    </w:p>
    <w:p>
      <w:pPr>
        <w:pStyle w:val="982"/>
        <w:numPr>
          <w:ilvl w:val="0"/>
          <w:numId w:val="1"/>
        </w:numPr>
        <w:spacing w:line="360" w:lineRule="auto"/>
        <w:tabs>
          <w:tab w:val="left" w:pos="360" w:leader="none"/>
          <w:tab w:val="left" w:pos="900" w:leader="none"/>
        </w:tabs>
        <w:rPr>
          <w:szCs w:val="21"/>
          <w:highlight w:val="none"/>
        </w:rPr>
        <w:outlineLvl w:val="1"/>
      </w:pPr>
      <w:r>
        <w:rPr>
          <w:szCs w:val="21"/>
          <w:highlight w:val="none"/>
        </w:rPr>
        <w:t xml:space="preserve">评审方法和评审标准</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见第三章《评审方法和评审标准》。</w:t>
      </w:r>
      <w:r>
        <w:rPr>
          <w:szCs w:val="21"/>
          <w:highlight w:val="none"/>
        </w:rPr>
      </w:r>
      <w:r/>
    </w:p>
    <w:p>
      <w:pPr>
        <w:pStyle w:val="982"/>
        <w:ind w:left="1080"/>
        <w:spacing w:line="360" w:lineRule="auto"/>
        <w:tabs>
          <w:tab w:val="left" w:pos="360" w:leader="none"/>
          <w:tab w:val="left" w:pos="1080" w:leader="none"/>
        </w:tabs>
        <w:rPr>
          <w:szCs w:val="21"/>
          <w:highlight w:val="none"/>
        </w:rPr>
      </w:pPr>
      <w:r>
        <w:rPr>
          <w:szCs w:val="21"/>
          <w:highlight w:val="none"/>
        </w:rPr>
      </w:r>
      <w:r/>
    </w:p>
    <w:p>
      <w:pPr>
        <w:pStyle w:val="984"/>
        <w:spacing w:before="0" w:line="360" w:lineRule="auto"/>
        <w:rPr>
          <w:rFonts w:ascii="Times New Roman" w:hAnsi="Times New Roman" w:eastAsia="宋体"/>
          <w:sz w:val="21"/>
          <w:szCs w:val="21"/>
          <w:highlight w:val="none"/>
        </w:rPr>
      </w:pPr>
      <w:r/>
      <w:bookmarkStart w:id="440" w:name="_Toc265228383"/>
      <w:r/>
      <w:bookmarkStart w:id="441" w:name="_Toc305158813"/>
      <w:r/>
      <w:bookmarkStart w:id="442" w:name="_Toc151193643"/>
      <w:r/>
      <w:bookmarkStart w:id="443" w:name="_Toc150774750"/>
      <w:r/>
      <w:bookmarkStart w:id="444" w:name="_Toc226965818"/>
      <w:r/>
      <w:bookmarkStart w:id="445" w:name="_Toc151193933"/>
      <w:r/>
      <w:bookmarkStart w:id="446" w:name="_Toc226309789"/>
      <w:r/>
      <w:bookmarkStart w:id="447" w:name="_Toc226337241"/>
      <w:r/>
      <w:bookmarkStart w:id="448" w:name="_Toc151190172"/>
      <w:r/>
      <w:bookmarkStart w:id="449" w:name="_Toc226965735"/>
      <w:r/>
      <w:bookmarkStart w:id="450" w:name="_Toc305158887"/>
      <w:r/>
      <w:bookmarkStart w:id="451" w:name="_Toc264969235"/>
      <w:r/>
      <w:bookmarkStart w:id="452" w:name="_Toc151193859"/>
      <w:r/>
      <w:bookmarkStart w:id="453" w:name="_Toc150480783"/>
      <w:r/>
      <w:bookmarkStart w:id="454" w:name="_Toc142311047"/>
      <w:r/>
      <w:bookmarkStart w:id="455" w:name="_Toc127151545"/>
      <w:r/>
      <w:bookmarkStart w:id="456" w:name="_Toc150774645"/>
      <w:r/>
      <w:bookmarkStart w:id="457" w:name="_Toc195842910"/>
      <w:r/>
      <w:bookmarkStart w:id="458" w:name="_Toc151193787"/>
      <w:r/>
      <w:bookmarkStart w:id="459" w:name="_Toc150509296"/>
      <w:r/>
      <w:bookmarkStart w:id="460" w:name="_Toc151193715"/>
      <w:r>
        <w:rPr>
          <w:rFonts w:ascii="Times New Roman" w:hAnsi="Times New Roman" w:eastAsia="宋体"/>
          <w:sz w:val="21"/>
          <w:szCs w:val="21"/>
          <w:highlight w:val="none"/>
        </w:rPr>
        <w:t xml:space="preserve">六   </w:t>
      </w:r>
      <w:bookmarkEnd w:id="439"/>
      <w:r>
        <w:rPr>
          <w:rFonts w:ascii="Times New Roman" w:hAnsi="Times New Roman" w:eastAsia="宋体"/>
          <w:sz w:val="21"/>
          <w:szCs w:val="21"/>
          <w:highlight w:val="none"/>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highlight w:val="none"/>
        </w:rPr>
        <w:t xml:space="preserve">成交</w:t>
      </w:r>
      <w:r>
        <w:rPr>
          <w:rFonts w:ascii="Times New Roman" w:hAnsi="Times New Roman" w:eastAsia="宋体"/>
          <w:sz w:val="21"/>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461" w:name="_Toc164229388"/>
      <w:r/>
      <w:bookmarkStart w:id="462" w:name="_Toc151193861"/>
      <w:r/>
      <w:bookmarkStart w:id="463" w:name="_Toc226337243"/>
      <w:r/>
      <w:bookmarkStart w:id="464" w:name="_Toc164351641"/>
      <w:r/>
      <w:bookmarkStart w:id="465" w:name="_Toc149720840"/>
      <w:r/>
      <w:bookmarkStart w:id="466" w:name="_Toc150774752"/>
      <w:r/>
      <w:bookmarkStart w:id="467" w:name="_Toc164608661"/>
      <w:r/>
      <w:bookmarkStart w:id="468" w:name="_Toc150480785"/>
      <w:r/>
      <w:bookmarkStart w:id="469" w:name="_Toc305158889"/>
      <w:r/>
      <w:bookmarkStart w:id="470" w:name="_Toc265228385"/>
      <w:r/>
      <w:bookmarkStart w:id="471" w:name="_Toc151193717"/>
      <w:r/>
      <w:bookmarkStart w:id="472" w:name="_Toc127161461"/>
      <w:r/>
      <w:bookmarkStart w:id="473" w:name="_Toc150774647"/>
      <w:r/>
      <w:bookmarkStart w:id="474" w:name="_Toc151190174"/>
      <w:r/>
      <w:bookmarkStart w:id="475" w:name="_Toc164229242"/>
      <w:r/>
      <w:bookmarkStart w:id="476" w:name="_Toc164608816"/>
      <w:r/>
      <w:bookmarkStart w:id="477" w:name="_Toc142311049"/>
      <w:r/>
      <w:bookmarkStart w:id="478" w:name="_Toc264969237"/>
      <w:r/>
      <w:bookmarkStart w:id="479" w:name="_Toc226965737"/>
      <w:r/>
      <w:bookmarkStart w:id="480" w:name="_Toc127151547"/>
      <w:r/>
      <w:bookmarkStart w:id="481" w:name="_Toc151193789"/>
      <w:r/>
      <w:bookmarkStart w:id="482" w:name="_Toc305158815"/>
      <w:r/>
      <w:bookmarkStart w:id="483" w:name="_Toc127151748"/>
      <w:r/>
      <w:bookmarkStart w:id="484" w:name="_Toc151193935"/>
      <w:r/>
      <w:bookmarkStart w:id="485" w:name="_Toc226965820"/>
      <w:r/>
      <w:bookmarkStart w:id="486" w:name="_Toc151193645"/>
      <w:r/>
      <w:bookmarkStart w:id="487" w:name="_Toc226309791"/>
      <w:r/>
      <w:bookmarkStart w:id="488" w:name="_Toc150509298"/>
      <w:r/>
      <w:bookmarkStart w:id="489" w:name="_Toc195842912"/>
      <w:r>
        <w:rPr>
          <w:szCs w:val="21"/>
          <w:highlight w:val="none"/>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采购人将在收到评审报告后，从评审报告提出的成交候选供应商中，按照排序由高到低的原则确定成交供应商</w:t>
      </w:r>
      <w:r>
        <w:rPr>
          <w:rFonts w:hint="eastAsia"/>
          <w:szCs w:val="21"/>
          <w:highlight w:val="none"/>
        </w:rPr>
        <w:t xml:space="preserve">。</w:t>
      </w:r>
      <w:r>
        <w:rPr>
          <w:szCs w:val="21"/>
          <w:highlight w:val="none"/>
        </w:rPr>
        <w:t xml:space="preserve">成交候选人并列的，由采购人</w:t>
      </w:r>
      <w:r>
        <w:rPr>
          <w:rFonts w:hint="eastAsia"/>
          <w:szCs w:val="21"/>
          <w:highlight w:val="none"/>
        </w:rPr>
        <w:t xml:space="preserve">依法</w:t>
      </w:r>
      <w:r>
        <w:rPr>
          <w:szCs w:val="21"/>
          <w:highlight w:val="none"/>
        </w:rPr>
        <w:t xml:space="preserve">确定。</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Start w:id="490" w:name="_Toc149720842"/>
      <w:r/>
      <w:bookmarkStart w:id="491" w:name="_Toc226337245"/>
      <w:r/>
      <w:bookmarkStart w:id="492" w:name="_Toc150774754"/>
      <w:r/>
      <w:bookmarkStart w:id="493" w:name="_Toc305158817"/>
      <w:r/>
      <w:bookmarkStart w:id="494" w:name="_Toc150774649"/>
      <w:r/>
      <w:bookmarkStart w:id="495" w:name="_Toc164229390"/>
      <w:r/>
      <w:bookmarkStart w:id="496" w:name="_Toc226309793"/>
      <w:r/>
      <w:bookmarkStart w:id="497" w:name="_Toc127151549"/>
      <w:r/>
      <w:bookmarkStart w:id="498" w:name="_Toc164229244"/>
      <w:r/>
      <w:bookmarkStart w:id="499" w:name="_Toc164608663"/>
      <w:r/>
      <w:bookmarkStart w:id="500" w:name="_Toc264969239"/>
      <w:r/>
      <w:bookmarkStart w:id="501" w:name="_Toc195842914"/>
      <w:r/>
      <w:bookmarkStart w:id="502" w:name="_Toc151193719"/>
      <w:r/>
      <w:bookmarkStart w:id="503" w:name="_Toc164608818"/>
      <w:r/>
      <w:bookmarkStart w:id="504" w:name="_Toc151193791"/>
      <w:r/>
      <w:bookmarkStart w:id="505" w:name="_Ref467307090"/>
      <w:r/>
      <w:bookmarkStart w:id="506" w:name="_Ref467306425"/>
      <w:r/>
      <w:bookmarkStart w:id="507" w:name="_Toc142311051"/>
      <w:r/>
      <w:bookmarkStart w:id="508" w:name="_Toc164351643"/>
      <w:r/>
      <w:bookmarkStart w:id="509" w:name="_Toc226965739"/>
      <w:r/>
      <w:bookmarkStart w:id="510" w:name="_Toc150480787"/>
      <w:r/>
      <w:bookmarkStart w:id="511" w:name="_Toc265228387"/>
      <w:r/>
      <w:bookmarkStart w:id="512" w:name="_Toc151190176"/>
      <w:r/>
      <w:bookmarkStart w:id="513" w:name="_Toc151193937"/>
      <w:r/>
      <w:bookmarkStart w:id="514" w:name="_Toc151193647"/>
      <w:r/>
      <w:bookmarkStart w:id="515" w:name="_Toc150509300"/>
      <w:r/>
      <w:bookmarkStart w:id="516" w:name="_Toc226965822"/>
      <w:r/>
      <w:bookmarkStart w:id="517" w:name="_Toc127161463"/>
      <w:r/>
      <w:bookmarkStart w:id="518" w:name="_Toc305158891"/>
      <w:r/>
      <w:bookmarkStart w:id="519" w:name="_Toc151193863"/>
      <w:r/>
      <w:bookmarkStart w:id="520" w:name="_Toc127151750"/>
      <w:r/>
      <w:bookmarkStart w:id="521" w:name="_Toc520356176"/>
      <w:r>
        <w:rPr>
          <w:szCs w:val="21"/>
          <w:highlight w:val="none"/>
        </w:rPr>
        <w:t xml:space="preserve">成交公告与成交通知书</w:t>
      </w:r>
      <w:bookmarkEnd w:id="493"/>
      <w:r/>
      <w:bookmarkEnd w:id="518"/>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采购人或采购代理机构将</w:t>
      </w:r>
      <w:r>
        <w:rPr>
          <w:szCs w:val="21"/>
          <w:highlight w:val="none"/>
        </w:rPr>
        <w:t xml:space="preserve">在成交供应商确定后2个工作日内，在</w:t>
      </w:r>
      <w:r>
        <w:rPr>
          <w:rFonts w:hint="eastAsia"/>
          <w:szCs w:val="21"/>
          <w:highlight w:val="none"/>
        </w:rPr>
        <w:t xml:space="preserve">常州市政府采购网</w:t>
      </w:r>
      <w:r>
        <w:rPr>
          <w:szCs w:val="21"/>
          <w:highlight w:val="none"/>
        </w:rPr>
        <w:t xml:space="preserve">公告成交结果，同时向成交供应商发出成交通知书，</w:t>
      </w:r>
      <w:r>
        <w:rPr>
          <w:szCs w:val="21"/>
          <w:highlight w:val="none"/>
        </w:rPr>
        <w:t xml:space="preserve">成交公告期限为1个工作日。</w:t>
      </w:r>
      <w:r>
        <w:rPr>
          <w:szCs w:val="21"/>
          <w:highlight w:val="none"/>
        </w:rPr>
      </w:r>
      <w:r/>
    </w:p>
    <w:p>
      <w:pPr>
        <w:pStyle w:val="982"/>
        <w:numPr>
          <w:ilvl w:val="1"/>
          <w:numId w:val="1"/>
        </w:numPr>
        <w:ind w:left="1080" w:hanging="720"/>
        <w:spacing w:line="360" w:lineRule="auto"/>
        <w:tabs>
          <w:tab w:val="left" w:pos="1080" w:leader="none"/>
          <w:tab w:val="left" w:pos="1589" w:leader="none"/>
          <w:tab w:val="left" w:pos="2014" w:leader="none"/>
        </w:tabs>
        <w:rPr>
          <w:szCs w:val="21"/>
          <w:highlight w:val="none"/>
        </w:rPr>
      </w:pPr>
      <w:r>
        <w:rPr>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highlight w:val="none"/>
        </w:rPr>
        <w:t xml:space="preserve">。</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终止</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在采购中，出现下列情形之一的，采购人或采购代理机构将终止竞争性磋商采购活动，发布项目终止公告并说明原因，重新开展采购活动：</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因情况变化，不再符合规定的竞争性磋商采购方式适用情形的；</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出现影响采购公正的违法、违规行为的；</w:t>
      </w:r>
      <w:r>
        <w:rPr>
          <w:szCs w:val="21"/>
          <w:highlight w:val="none"/>
        </w:rPr>
      </w:r>
      <w:r/>
    </w:p>
    <w:p>
      <w:pPr>
        <w:pStyle w:val="982"/>
        <w:numPr>
          <w:ilvl w:val="2"/>
          <w:numId w:val="1"/>
        </w:numPr>
        <w:spacing w:line="360" w:lineRule="auto"/>
        <w:tabs>
          <w:tab w:val="left" w:pos="1980" w:leader="none"/>
        </w:tabs>
        <w:rPr>
          <w:rFonts w:hint="eastAsia"/>
          <w:szCs w:val="21"/>
          <w:highlight w:val="none"/>
        </w:rPr>
      </w:pPr>
      <w:r>
        <w:rPr>
          <w:szCs w:val="21"/>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highlight w:val="none"/>
        </w:rPr>
      </w:r>
      <w:r/>
    </w:p>
    <w:p>
      <w:pPr>
        <w:pStyle w:val="982"/>
        <w:numPr>
          <w:ilvl w:val="2"/>
          <w:numId w:val="1"/>
        </w:numPr>
        <w:spacing w:line="360" w:lineRule="auto"/>
        <w:tabs>
          <w:tab w:val="left" w:pos="1980" w:leader="none"/>
        </w:tabs>
        <w:rPr>
          <w:szCs w:val="21"/>
          <w:highlight w:val="none"/>
        </w:rPr>
      </w:pPr>
      <w:r>
        <w:rPr>
          <w:rFonts w:hint="eastAsia" w:ascii="宋体" w:hAnsi="宋体"/>
          <w:spacing w:val="2"/>
          <w:szCs w:val="21"/>
          <w:highlight w:val="none"/>
        </w:rPr>
        <w:t xml:space="preserve">平台系统</w:t>
      </w:r>
      <w:r>
        <w:rPr>
          <w:rFonts w:ascii="宋体" w:hAnsi="宋体"/>
          <w:szCs w:val="21"/>
          <w:highlight w:val="none"/>
        </w:rPr>
        <w:t xml:space="preserve">出现</w:t>
      </w:r>
      <w:r>
        <w:rPr>
          <w:rFonts w:hint="eastAsia" w:ascii="宋体" w:hAnsi="宋体"/>
          <w:szCs w:val="21"/>
          <w:highlight w:val="none"/>
        </w:rPr>
        <w:t xml:space="preserve">序号17.7的所述</w:t>
      </w:r>
      <w:r>
        <w:rPr>
          <w:rFonts w:ascii="宋体" w:hAnsi="宋体"/>
          <w:szCs w:val="21"/>
          <w:highlight w:val="none"/>
        </w:rPr>
        <w:t xml:space="preserve">情形，</w:t>
      </w:r>
      <w:r>
        <w:rPr>
          <w:rFonts w:hint="eastAsia" w:ascii="宋体" w:hAnsi="宋体"/>
          <w:szCs w:val="21"/>
          <w:highlight w:val="none"/>
        </w:rPr>
        <w:t xml:space="preserve">情况严重且</w:t>
      </w:r>
      <w:r>
        <w:rPr>
          <w:rFonts w:ascii="宋体" w:hAnsi="宋体"/>
          <w:szCs w:val="21"/>
          <w:highlight w:val="none"/>
        </w:rPr>
        <w:t xml:space="preserve">影响采购</w:t>
      </w:r>
      <w:r>
        <w:rPr>
          <w:rFonts w:hint="eastAsia" w:ascii="宋体" w:hAnsi="宋体"/>
          <w:szCs w:val="21"/>
          <w:highlight w:val="none"/>
        </w:rPr>
        <w:t xml:space="preserve">活动</w:t>
      </w:r>
      <w:r>
        <w:rPr>
          <w:rFonts w:ascii="宋体" w:hAnsi="宋体"/>
          <w:szCs w:val="21"/>
          <w:highlight w:val="none"/>
        </w:rPr>
        <w:t xml:space="preserve">公平、公正性的</w:t>
      </w:r>
      <w:r>
        <w:rPr>
          <w:rFonts w:hint="eastAsia" w:ascii="宋体" w:hAnsi="宋体"/>
          <w:szCs w:val="21"/>
          <w:highlight w:val="none"/>
        </w:rPr>
        <w:t xml:space="preserve">。</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Ref467306377"/>
      <w:r/>
      <w:bookmarkStart w:id="523" w:name="_Toc264969240"/>
      <w:r/>
      <w:bookmarkStart w:id="524" w:name="_Toc226309794"/>
      <w:r/>
      <w:bookmarkStart w:id="525" w:name="_Ref467307062"/>
      <w:r/>
      <w:bookmarkStart w:id="526" w:name="_Toc151193792"/>
      <w:r/>
      <w:bookmarkStart w:id="527" w:name="_Toc164608664"/>
      <w:r/>
      <w:bookmarkStart w:id="528" w:name="_Toc226965740"/>
      <w:r/>
      <w:bookmarkStart w:id="529" w:name="_Toc226337246"/>
      <w:r/>
      <w:bookmarkStart w:id="530" w:name="_Toc195842915"/>
      <w:r/>
      <w:bookmarkStart w:id="531" w:name="_Toc151193648"/>
      <w:r/>
      <w:bookmarkStart w:id="532" w:name="_Toc164229391"/>
      <w:r/>
      <w:bookmarkStart w:id="533" w:name="_Toc127151751"/>
      <w:r/>
      <w:bookmarkStart w:id="534" w:name="_Toc151193864"/>
      <w:r/>
      <w:bookmarkStart w:id="535" w:name="_Toc305158818"/>
      <w:r/>
      <w:bookmarkStart w:id="536" w:name="_Toc149720843"/>
      <w:r/>
      <w:bookmarkStart w:id="537" w:name="_Toc150774755"/>
      <w:r/>
      <w:bookmarkStart w:id="538" w:name="_Toc127161464"/>
      <w:r/>
      <w:bookmarkStart w:id="539" w:name="_Toc164351644"/>
      <w:r/>
      <w:bookmarkStart w:id="540" w:name="_Toc305158892"/>
      <w:r/>
      <w:bookmarkStart w:id="541" w:name="_Toc150480788"/>
      <w:r/>
      <w:bookmarkStart w:id="542" w:name="_Toc164608819"/>
      <w:r/>
      <w:bookmarkStart w:id="543" w:name="_Toc127151550"/>
      <w:r/>
      <w:bookmarkStart w:id="544" w:name="_Toc151193720"/>
      <w:r/>
      <w:bookmarkStart w:id="545" w:name="_Toc226965823"/>
      <w:r/>
      <w:bookmarkStart w:id="546" w:name="_Toc151193938"/>
      <w:r/>
      <w:bookmarkStart w:id="547" w:name="_Toc142311052"/>
      <w:r/>
      <w:bookmarkStart w:id="548" w:name="_Ref467307204"/>
      <w:r/>
      <w:bookmarkStart w:id="549" w:name="_Toc520356175"/>
      <w:r/>
      <w:bookmarkStart w:id="550" w:name="_Ref467306978"/>
      <w:r/>
      <w:bookmarkStart w:id="551" w:name="_Toc150509301"/>
      <w:r/>
      <w:bookmarkStart w:id="552" w:name="_Toc164229245"/>
      <w:r/>
      <w:bookmarkStart w:id="553" w:name="_Toc150774650"/>
      <w:r/>
      <w:bookmarkStart w:id="554" w:name="_Toc265228388"/>
      <w:r/>
      <w:bookmarkStart w:id="555" w:name="_Toc151190177"/>
      <w:r>
        <w:rPr>
          <w:szCs w:val="21"/>
          <w:highlight w:val="none"/>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联合体获得成交资格的，联合体各方应当共同与采购人签订合同，就成交项目向采购人承担连带责任。</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政府采购合同不能转包。</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采购人允许采用分包方式履行合同的，成交供应商可以依法采取分包方式履行合同。本项目</w:t>
      </w:r>
      <w:r>
        <w:rPr>
          <w:rFonts w:hint="eastAsia"/>
          <w:szCs w:val="21"/>
          <w:highlight w:val="none"/>
        </w:rPr>
        <w:t xml:space="preserve">是</w:t>
      </w:r>
      <w:r>
        <w:rPr>
          <w:szCs w:val="21"/>
          <w:highlight w:val="none"/>
        </w:rPr>
        <w:t xml:space="preserve">否允许分包，见《供应商须知资料表》。政府采购合同分包履行的，应当在响应文件中载明分包承担主体，分包承担主体应当具备相应资质条件且不得再次分包，</w:t>
      </w:r>
      <w:r>
        <w:rPr>
          <w:b/>
          <w:szCs w:val="21"/>
          <w:highlight w:val="none"/>
        </w:rPr>
        <w:t xml:space="preserve">否则响应无效</w:t>
      </w:r>
      <w:r>
        <w:rPr>
          <w:szCs w:val="21"/>
          <w:highlight w:val="none"/>
        </w:rPr>
        <w:t xml:space="preserve">。成交供应商就采购项目和分包项目向采购人负责，分包供应商就分包项目承担责任。</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bookmarkEnd w:id="505"/>
      <w:r/>
      <w:bookmarkEnd w:id="506"/>
      <w:r/>
      <w:bookmarkEnd w:id="521"/>
      <w:r>
        <w:rPr>
          <w:szCs w:val="21"/>
          <w:highlight w:val="none"/>
        </w:rPr>
        <w:t xml:space="preserve">询问与质疑</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询问</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供应商对政府采购活动事项有疑问的，可依法提出询问，并按《供应商须知资料表》载明的形式送达采购人或采购代理机构。</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采购人或采购代理机构对供应商依法提出的询问，在3个工作日内作出答复，但答复的内容不得涉及商业秘密。</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质疑</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highlight w:val="none"/>
        </w:rPr>
      </w:r>
      <w:r/>
    </w:p>
    <w:p>
      <w:pPr>
        <w:pStyle w:val="982"/>
        <w:numPr>
          <w:ilvl w:val="2"/>
          <w:numId w:val="1"/>
        </w:numPr>
        <w:spacing w:line="360" w:lineRule="auto"/>
        <w:tabs>
          <w:tab w:val="left" w:pos="1980" w:leader="none"/>
        </w:tabs>
        <w:rPr>
          <w:szCs w:val="21"/>
          <w:highlight w:val="none"/>
        </w:rPr>
      </w:pPr>
      <w:r>
        <w:rPr>
          <w:rFonts w:hint="eastAsia"/>
          <w:b/>
          <w:szCs w:val="21"/>
          <w:highlight w:val="none"/>
        </w:rPr>
        <w:t xml:space="preserve">磋商文件</w:t>
      </w:r>
      <w:r>
        <w:rPr>
          <w:rFonts w:hint="eastAsia" w:ascii="宋体" w:hAnsi="宋体"/>
          <w:b/>
          <w:szCs w:val="21"/>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质疑函须使用财政部制定的范本文件。</w:t>
      </w:r>
      <w:r>
        <w:rPr>
          <w:rFonts w:hint="eastAsia"/>
          <w:szCs w:val="21"/>
          <w:highlight w:val="none"/>
        </w:rPr>
        <w:t xml:space="preserve">（下载网址：</w:t>
      </w:r>
      <w:r>
        <w:rPr>
          <w:szCs w:val="21"/>
          <w:highlight w:val="none"/>
        </w:rPr>
        <w:t xml:space="preserve">http://gk</w:t>
      </w:r>
      <w:bookmarkStart w:id="556" w:name="_Hlt100654014"/>
      <w:r>
        <w:rPr>
          <w:szCs w:val="21"/>
          <w:highlight w:val="none"/>
        </w:rPr>
        <w:t xml:space="preserve">s</w:t>
      </w:r>
      <w:bookmarkEnd w:id="556"/>
      <w:r>
        <w:rPr>
          <w:szCs w:val="21"/>
          <w:highlight w:val="none"/>
        </w:rPr>
        <w:t xml:space="preserve">.m</w:t>
      </w:r>
      <w:bookmarkStart w:id="557" w:name="_Hlt100653994"/>
      <w:r/>
      <w:bookmarkStart w:id="558" w:name="_Hlt100653993"/>
      <w:r>
        <w:rPr>
          <w:szCs w:val="21"/>
          <w:highlight w:val="none"/>
        </w:rPr>
        <w:t xml:space="preserve">o</w:t>
      </w:r>
      <w:bookmarkEnd w:id="557"/>
      <w:r/>
      <w:bookmarkEnd w:id="558"/>
      <w:r/>
      <w:bookmarkStart w:id="559" w:name="_Hlt101169156"/>
      <w:r>
        <w:rPr>
          <w:szCs w:val="21"/>
          <w:highlight w:val="none"/>
        </w:rPr>
        <w:t xml:space="preserve">f</w:t>
      </w:r>
      <w:bookmarkEnd w:id="559"/>
      <w:r>
        <w:rPr>
          <w:szCs w:val="21"/>
          <w:highlight w:val="none"/>
        </w:rPr>
        <w:t xml:space="preserve">.gov.cn/ztztz/zhengfucaigouguanli/201802/t20180201_2804589.htm</w:t>
      </w:r>
      <w:r>
        <w:rPr>
          <w:rFonts w:hint="eastAsia"/>
          <w:szCs w:val="21"/>
          <w:highlight w:val="none"/>
        </w:rPr>
        <w:t xml:space="preserve">）</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供应商为自然人的，应当由本人签字；供应商为法人或者其他组织的，应当由法定代表人、主要负责人，或者其授权代表签字或者盖章，并加盖公章。</w:t>
      </w:r>
      <w:r>
        <w:rPr>
          <w:szCs w:val="21"/>
          <w:highlight w:val="none"/>
        </w:rPr>
      </w:r>
      <w:r/>
    </w:p>
    <w:p>
      <w:pPr>
        <w:pStyle w:val="982"/>
        <w:numPr>
          <w:ilvl w:val="2"/>
          <w:numId w:val="1"/>
        </w:numPr>
        <w:spacing w:line="360" w:lineRule="auto"/>
        <w:tabs>
          <w:tab w:val="left" w:pos="1980" w:leader="none"/>
        </w:tabs>
        <w:rPr>
          <w:szCs w:val="21"/>
          <w:highlight w:val="none"/>
        </w:rPr>
      </w:pPr>
      <w:r>
        <w:rPr>
          <w:szCs w:val="21"/>
          <w:highlight w:val="none"/>
        </w:rPr>
        <w:t xml:space="preserve">供应商应在法定质疑期内一次性提出针对同一采购程序环节的质疑，法定质疑期内针对同一采购程序环节再次提出的质疑，采购人、采购代理机构有权不予答复。</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接收询问和质疑的联系部门、联系电话和通讯地址见《供应商须知资料表》</w:t>
      </w:r>
      <w:r>
        <w:rPr>
          <w:rFonts w:hint="eastAsia"/>
          <w:szCs w:val="21"/>
          <w:highlight w:val="none"/>
        </w:rPr>
        <w:t xml:space="preserve">。</w:t>
      </w:r>
      <w:r>
        <w:rPr>
          <w:szCs w:val="21"/>
          <w:highlight w:val="none"/>
        </w:rPr>
      </w:r>
      <w:r/>
    </w:p>
    <w:p>
      <w:pPr>
        <w:pStyle w:val="982"/>
        <w:numPr>
          <w:ilvl w:val="0"/>
          <w:numId w:val="1"/>
        </w:numPr>
        <w:ind w:left="357" w:hanging="357"/>
        <w:spacing w:line="360" w:lineRule="auto"/>
        <w:tabs>
          <w:tab w:val="left" w:pos="360" w:leader="none"/>
          <w:tab w:val="left" w:pos="900" w:leader="none"/>
        </w:tabs>
        <w:rPr>
          <w:szCs w:val="21"/>
          <w:highlight w:val="none"/>
        </w:rPr>
        <w:outlineLvl w:val="1"/>
      </w:pPr>
      <w:r>
        <w:rPr>
          <w:szCs w:val="21"/>
          <w:highlight w:val="none"/>
        </w:rPr>
        <w:t xml:space="preserve">代理费</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rPr>
          <w:szCs w:val="21"/>
          <w:highlight w:val="none"/>
        </w:rPr>
        <w:t xml:space="preserve">收费对象、收费标准及缴纳时间见《供应商须知资料表》。由成交供应商支付的，成交供应商须一次性向采购代理机构缴纳代理费，报价应包含代理费用。</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pPr>
      <w:r/>
      <w:bookmarkStart w:id="560" w:name="_Toc264969244"/>
      <w:r/>
      <w:bookmarkStart w:id="561" w:name="_Toc150774759"/>
      <w:r/>
      <w:bookmarkStart w:id="562" w:name="_Toc150480792"/>
      <w:r/>
      <w:bookmarkStart w:id="563" w:name="_Toc226337250"/>
      <w:r/>
      <w:bookmarkStart w:id="564" w:name="_Toc305158822"/>
      <w:r/>
      <w:bookmarkStart w:id="565" w:name="_Toc265228392"/>
      <w:r/>
      <w:bookmarkStart w:id="566" w:name="_Toc353873934"/>
      <w:r/>
      <w:bookmarkStart w:id="567" w:name="_Toc127151554"/>
      <w:r/>
      <w:bookmarkStart w:id="568" w:name="_Toc226965827"/>
      <w:r/>
      <w:bookmarkStart w:id="569" w:name="_Toc353825544"/>
      <w:r/>
      <w:bookmarkStart w:id="570" w:name="_Toc353873664"/>
      <w:r/>
      <w:bookmarkStart w:id="571" w:name="_Toc142311056"/>
      <w:r/>
      <w:bookmarkStart w:id="572" w:name="_Toc305158896"/>
      <w:r>
        <w:rPr>
          <w:rFonts w:hint="eastAsia"/>
          <w:szCs w:val="21"/>
          <w:highlight w:val="none"/>
        </w:rPr>
        <w:t xml:space="preserve">集中采购机构不收取代理费。</w:t>
      </w:r>
      <w:r>
        <w:rPr>
          <w:szCs w:val="21"/>
          <w:highlight w:val="none"/>
        </w:rPr>
      </w:r>
      <w:r/>
    </w:p>
    <w:p>
      <w:pPr>
        <w:pStyle w:val="982"/>
        <w:numPr>
          <w:ilvl w:val="1"/>
          <w:numId w:val="1"/>
        </w:numPr>
        <w:ind w:left="1077" w:hanging="720"/>
        <w:spacing w:line="360" w:lineRule="auto"/>
        <w:tabs>
          <w:tab w:val="left" w:pos="1080" w:leader="none"/>
          <w:tab w:val="left" w:pos="1589" w:leader="none"/>
          <w:tab w:val="left" w:pos="2014" w:leader="none"/>
        </w:tabs>
        <w:rPr>
          <w:szCs w:val="21"/>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szCs w:val="21"/>
          <w:highlight w:val="none"/>
        </w:rPr>
      </w:r>
      <w:r/>
    </w:p>
    <w:p>
      <w:pPr>
        <w:pStyle w:val="982"/>
        <w:jc w:val="center"/>
        <w:spacing w:line="360" w:lineRule="auto"/>
        <w:rPr>
          <w:b/>
          <w:sz w:val="36"/>
          <w:szCs w:val="36"/>
          <w:highlight w:val="none"/>
        </w:rPr>
        <w:outlineLvl w:val="0"/>
      </w:pPr>
      <w:r/>
      <w:bookmarkStart w:id="573" w:name="_Toc104818927"/>
      <w:r>
        <w:rPr>
          <w:b/>
          <w:sz w:val="36"/>
          <w:szCs w:val="36"/>
          <w:highlight w:val="none"/>
        </w:rPr>
      </w:r>
      <w:r/>
    </w:p>
    <w:p>
      <w:pPr>
        <w:pStyle w:val="982"/>
        <w:jc w:val="center"/>
        <w:spacing w:line="360" w:lineRule="auto"/>
        <w:rPr>
          <w:b/>
          <w:sz w:val="36"/>
          <w:szCs w:val="36"/>
          <w:highlight w:val="none"/>
        </w:rPr>
        <w:outlineLvl w:val="0"/>
      </w:pPr>
      <w:r>
        <w:rPr>
          <w:b/>
          <w:sz w:val="36"/>
          <w:szCs w:val="36"/>
          <w:highlight w:val="none"/>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73"/>
      <w:r/>
      <w:bookmarkStart w:id="574" w:name="_Toc487900382"/>
      <w:r>
        <w:rPr>
          <w:b/>
          <w:sz w:val="36"/>
          <w:szCs w:val="36"/>
          <w:highlight w:val="none"/>
        </w:rPr>
      </w:r>
      <w:r/>
    </w:p>
    <w:p>
      <w:pPr>
        <w:pStyle w:val="98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982"/>
        <w:jc w:val="left"/>
        <w:tabs>
          <w:tab w:val="left" w:pos="1080" w:leader="none"/>
        </w:tabs>
        <w:rPr>
          <w:b/>
          <w:sz w:val="24"/>
          <w:highlight w:val="none"/>
        </w:rPr>
      </w:pPr>
      <w:r>
        <w:rPr>
          <w:b/>
          <w:sz w:val="24"/>
          <w:highlight w:val="none"/>
        </w:rPr>
        <w:tab/>
      </w:r>
      <w:r>
        <w:rPr>
          <w:b/>
          <w:sz w:val="24"/>
          <w:highlight w:val="none"/>
        </w:rPr>
      </w:r>
      <w:r/>
    </w:p>
    <w:p>
      <w:pPr>
        <w:pStyle w:val="982"/>
        <w:numPr>
          <w:ilvl w:val="0"/>
          <w:numId w:val="3"/>
        </w:numPr>
        <w:spacing w:line="360" w:lineRule="auto"/>
        <w:tabs>
          <w:tab w:val="left" w:pos="360" w:leader="none"/>
          <w:tab w:val="left" w:pos="900" w:leader="none"/>
        </w:tabs>
        <w:rPr>
          <w:szCs w:val="21"/>
          <w:highlight w:val="none"/>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51193639"/>
      <w:r/>
      <w:bookmarkStart w:id="576" w:name="_Toc142311043"/>
      <w:r/>
      <w:bookmarkStart w:id="577" w:name="_Toc127161455"/>
      <w:r/>
      <w:bookmarkStart w:id="578" w:name="_Toc264969231"/>
      <w:r/>
      <w:bookmarkStart w:id="579" w:name="_Toc151193855"/>
      <w:r/>
      <w:bookmarkStart w:id="580" w:name="_Toc150480779"/>
      <w:r/>
      <w:bookmarkStart w:id="581" w:name="_Toc265228379"/>
      <w:r/>
      <w:bookmarkStart w:id="582" w:name="_Toc151193929"/>
      <w:r/>
      <w:bookmarkStart w:id="583" w:name="_Toc226965814"/>
      <w:r/>
      <w:bookmarkStart w:id="584" w:name="_Toc151190168"/>
      <w:r/>
      <w:bookmarkStart w:id="585" w:name="_Toc164608655"/>
      <w:r/>
      <w:bookmarkStart w:id="586" w:name="_Toc151193783"/>
      <w:r/>
      <w:bookmarkStart w:id="587" w:name="_Toc151193711"/>
      <w:r/>
      <w:bookmarkStart w:id="588" w:name="_Toc164608810"/>
      <w:r/>
      <w:bookmarkStart w:id="589" w:name="_Toc127151742"/>
      <w:r/>
      <w:bookmarkStart w:id="590" w:name="_Toc127151541"/>
      <w:r/>
      <w:bookmarkStart w:id="591" w:name="_Toc305158809"/>
      <w:r/>
      <w:bookmarkStart w:id="592" w:name="_Toc150774746"/>
      <w:r/>
      <w:bookmarkStart w:id="593" w:name="_Toc226337237"/>
      <w:r/>
      <w:bookmarkStart w:id="594" w:name="_Toc150774641"/>
      <w:r/>
      <w:bookmarkStart w:id="595" w:name="_Toc226965731"/>
      <w:r/>
      <w:bookmarkStart w:id="596" w:name="_Toc226309785"/>
      <w:r/>
      <w:bookmarkStart w:id="597" w:name="_Toc164351635"/>
      <w:r/>
      <w:bookmarkStart w:id="598" w:name="_Toc164229382"/>
      <w:r/>
      <w:bookmarkStart w:id="599" w:name="_Toc195842906"/>
      <w:r/>
      <w:bookmarkStart w:id="600" w:name="_Toc149720834"/>
      <w:r/>
      <w:bookmarkStart w:id="601" w:name="_Toc305158883"/>
      <w:r/>
      <w:bookmarkStart w:id="602" w:name="_Toc164229236"/>
      <w:r/>
      <w:bookmarkStart w:id="603" w:name="_Toc150509292"/>
      <w:r/>
      <w:bookmarkStart w:id="604" w:name="_Toc142311057"/>
      <w:r/>
      <w:bookmarkStart w:id="605" w:name="_Toc353825551"/>
      <w:r/>
      <w:bookmarkStart w:id="606" w:name="_Toc353873941"/>
      <w:r/>
      <w:bookmarkStart w:id="607" w:name="_Toc353825545"/>
      <w:r/>
      <w:bookmarkStart w:id="608" w:name="_Toc127151555"/>
      <w:r/>
      <w:bookmarkStart w:id="609" w:name="_Toc353873665"/>
      <w:r/>
      <w:bookmarkStart w:id="610" w:name="_Toc150480793"/>
      <w:r/>
      <w:bookmarkStart w:id="611" w:name="_Toc265228393"/>
      <w:r/>
      <w:bookmarkStart w:id="612" w:name="_Toc305158823"/>
      <w:r/>
      <w:bookmarkStart w:id="613" w:name="_Toc226965828"/>
      <w:r/>
      <w:bookmarkStart w:id="614" w:name="_Toc195842920"/>
      <w:r/>
      <w:bookmarkStart w:id="615" w:name="_Toc226337251"/>
      <w:r/>
      <w:bookmarkStart w:id="616" w:name="_Toc150774760"/>
      <w:r/>
      <w:bookmarkStart w:id="617" w:name="_Toc353873935"/>
      <w:r/>
      <w:bookmarkStart w:id="618" w:name="_Toc264969245"/>
      <w:r/>
      <w:bookmarkStart w:id="619" w:name="_Toc305158897"/>
      <w:r>
        <w:rPr>
          <w:szCs w:val="21"/>
          <w:highlight w:val="none"/>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highlight w:val="none"/>
        </w:rPr>
        <w:t xml:space="preserve">资格性检查和符合性审查</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highlight w:val="none"/>
        </w:rPr>
        <w:t xml:space="preserve">无效响应</w:t>
      </w:r>
      <w:r>
        <w:rPr>
          <w:szCs w:val="21"/>
          <w:highlight w:val="none"/>
        </w:rPr>
        <w:t xml:space="preserve">处理，磋商小组应当告知提交响应文件的供应商。</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《资格性检查要求》中对格式有要求的，除竞争性磋商文件另有规定外，均为“实质性格式”文件。</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《资格性检查要求》见下表：</w:t>
      </w:r>
      <w:r>
        <w:rPr>
          <w:szCs w:val="21"/>
          <w:highlight w:val="none"/>
        </w:rPr>
      </w:r>
      <w:r/>
    </w:p>
    <w:p>
      <w:pPr>
        <w:pStyle w:val="982"/>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82"/>
              <w:jc w:val="center"/>
              <w:tabs>
                <w:tab w:val="left" w:pos="1080" w:leader="none"/>
              </w:tabs>
              <w:rPr>
                <w:b/>
                <w:szCs w:val="21"/>
                <w:highlight w:val="none"/>
              </w:rPr>
            </w:pPr>
            <w:r/>
            <w:bookmarkStart w:id="620" w:name="_Hlt487972895"/>
            <w:r/>
            <w:bookmarkEnd w:id="620"/>
            <w:r>
              <w:rPr>
                <w:b/>
                <w:szCs w:val="21"/>
                <w:highlight w:val="none"/>
              </w:rPr>
              <w:t xml:space="preserve">序号</w:t>
            </w:r>
            <w:r>
              <w:rPr>
                <w:b/>
                <w:szCs w:val="21"/>
                <w:highlight w:val="none"/>
              </w:rPr>
            </w:r>
            <w:r/>
          </w:p>
        </w:tc>
        <w:tc>
          <w:tcPr>
            <w:tcW w:w="1014" w:type="dxa"/>
            <w:vAlign w:val="center"/>
            <w:textDirection w:val="lrTb"/>
            <w:noWrap w:val="false"/>
          </w:tcPr>
          <w:p>
            <w:pPr>
              <w:pStyle w:val="982"/>
              <w:jc w:val="center"/>
              <w:tabs>
                <w:tab w:val="left" w:pos="1080" w:leader="none"/>
              </w:tabs>
              <w:rPr>
                <w:b/>
                <w:szCs w:val="21"/>
                <w:highlight w:val="none"/>
              </w:rPr>
            </w:pPr>
            <w:r>
              <w:rPr>
                <w:b/>
                <w:szCs w:val="21"/>
                <w:highlight w:val="none"/>
              </w:rPr>
              <w:t xml:space="preserve">审查因素</w:t>
            </w:r>
            <w:r>
              <w:rPr>
                <w:b/>
                <w:szCs w:val="21"/>
                <w:highlight w:val="none"/>
              </w:rPr>
            </w:r>
            <w:r/>
          </w:p>
        </w:tc>
        <w:tc>
          <w:tcPr>
            <w:tcW w:w="2637" w:type="dxa"/>
            <w:vAlign w:val="center"/>
            <w:textDirection w:val="lrTb"/>
            <w:noWrap w:val="false"/>
          </w:tcPr>
          <w:p>
            <w:pPr>
              <w:pStyle w:val="982"/>
              <w:jc w:val="center"/>
              <w:tabs>
                <w:tab w:val="left" w:pos="1080" w:leader="none"/>
              </w:tabs>
              <w:rPr>
                <w:b/>
                <w:szCs w:val="21"/>
                <w:highlight w:val="none"/>
              </w:rPr>
            </w:pPr>
            <w:r>
              <w:rPr>
                <w:b/>
                <w:szCs w:val="21"/>
                <w:highlight w:val="none"/>
              </w:rPr>
              <w:t xml:space="preserve">审查内容</w:t>
            </w:r>
            <w:r>
              <w:rPr>
                <w:b/>
                <w:szCs w:val="21"/>
                <w:highlight w:val="none"/>
              </w:rPr>
            </w:r>
            <w:r/>
          </w:p>
        </w:tc>
        <w:tc>
          <w:tcPr>
            <w:tcW w:w="974" w:type="dxa"/>
            <w:vAlign w:val="center"/>
            <w:textDirection w:val="lrTb"/>
            <w:noWrap w:val="false"/>
          </w:tcPr>
          <w:p>
            <w:pPr>
              <w:pStyle w:val="982"/>
              <w:jc w:val="center"/>
              <w:tabs>
                <w:tab w:val="left" w:pos="1080" w:leader="none"/>
              </w:tabs>
              <w:rPr>
                <w:b/>
                <w:szCs w:val="21"/>
                <w:highlight w:val="none"/>
              </w:rPr>
            </w:pPr>
            <w:r>
              <w:rPr>
                <w:b/>
                <w:szCs w:val="21"/>
                <w:highlight w:val="none"/>
              </w:rPr>
              <w:t xml:space="preserve">格式要求</w:t>
            </w:r>
            <w:r>
              <w:rPr>
                <w:b/>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1</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满足《中华人民共和国政府采购法》第二十二条规定及法律法规的其他规定</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szCs w:val="21"/>
                <w:highlight w:val="none"/>
              </w:rPr>
              <w:t xml:space="preserve">具体规定见第一章《采购邀请》</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r>
            <w:r/>
          </w:p>
        </w:tc>
      </w:tr>
      <w:tr>
        <w:trPr>
          <w:cantSplit/>
          <w:trHeight w:val="468"/>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1-1</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rFonts w:hint="eastAsia"/>
                <w:szCs w:val="21"/>
                <w:highlight w:val="none"/>
              </w:rPr>
              <w:t xml:space="preserve">供应商资格声明函</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szCs w:val="21"/>
                <w:highlight w:val="none"/>
              </w:rPr>
              <w:t xml:space="preserve">提供了符合</w:t>
            </w:r>
            <w:r>
              <w:rPr>
                <w:rFonts w:hint="eastAsia"/>
                <w:szCs w:val="21"/>
                <w:highlight w:val="none"/>
              </w:rPr>
              <w:t xml:space="preserve">采购</w:t>
            </w:r>
            <w:r>
              <w:rPr>
                <w:szCs w:val="21"/>
                <w:highlight w:val="none"/>
              </w:rPr>
              <w:t xml:space="preserve">文件要求的《</w:t>
            </w:r>
            <w:r>
              <w:rPr>
                <w:rFonts w:hint="eastAsia"/>
                <w:szCs w:val="21"/>
                <w:highlight w:val="none"/>
              </w:rPr>
              <w:t xml:space="preserve">供应商资格声明函</w:t>
            </w:r>
            <w:r>
              <w:rPr>
                <w:szCs w:val="21"/>
                <w:highlight w:val="none"/>
              </w:rPr>
              <w:t xml:space="preserve">》。</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t xml:space="preserve">格式见《</w:t>
            </w:r>
            <w:r>
              <w:rPr>
                <w:rFonts w:hint="eastAsia"/>
                <w:szCs w:val="21"/>
                <w:highlight w:val="none"/>
              </w:rPr>
              <w:t xml:space="preserve">响应</w:t>
            </w:r>
            <w:r>
              <w:rPr>
                <w:szCs w:val="21"/>
                <w:highlight w:val="none"/>
              </w:rPr>
              <w:t xml:space="preserve">文件格式》</w:t>
            </w: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rFonts w:hint="eastAsia"/>
                <w:szCs w:val="21"/>
                <w:highlight w:val="none"/>
              </w:rPr>
              <w:t xml:space="preserve">1</w:t>
            </w:r>
            <w:r>
              <w:rPr>
                <w:szCs w:val="21"/>
                <w:highlight w:val="none"/>
              </w:rPr>
              <w:t xml:space="preserve">-</w:t>
            </w:r>
            <w:r>
              <w:rPr>
                <w:rFonts w:hint="eastAsia"/>
                <w:szCs w:val="21"/>
                <w:highlight w:val="none"/>
              </w:rPr>
              <w:t xml:space="preserve">2</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供应商信用记录</w:t>
            </w:r>
            <w:r>
              <w:rPr>
                <w:szCs w:val="21"/>
                <w:highlight w:val="none"/>
              </w:rPr>
            </w:r>
            <w:r/>
          </w:p>
        </w:tc>
        <w:tc>
          <w:tcPr>
            <w:tcW w:w="2637" w:type="dxa"/>
            <w:vAlign w:val="center"/>
            <w:textDirection w:val="lrTb"/>
            <w:noWrap w:val="false"/>
          </w:tcPr>
          <w:p>
            <w:pPr>
              <w:pStyle w:val="982"/>
              <w:tabs>
                <w:tab w:val="left" w:pos="900" w:leader="none"/>
                <w:tab w:val="left" w:pos="1980" w:leader="none"/>
              </w:tabs>
              <w:rPr>
                <w:szCs w:val="21"/>
                <w:highlight w:val="none"/>
              </w:rPr>
            </w:pPr>
            <w:r>
              <w:rPr>
                <w:szCs w:val="21"/>
                <w:highlight w:val="none"/>
              </w:rPr>
              <w:t xml:space="preserve">查询渠道：信用中国网站和中国政府采购网（www.creditchina.gov.cn、www.ccgp.gov.cn）；</w:t>
            </w:r>
            <w:r>
              <w:rPr>
                <w:szCs w:val="21"/>
                <w:highlight w:val="none"/>
              </w:rPr>
            </w:r>
            <w:r/>
          </w:p>
          <w:p>
            <w:pPr>
              <w:pStyle w:val="982"/>
              <w:tabs>
                <w:tab w:val="left" w:pos="900" w:leader="none"/>
                <w:tab w:val="left" w:pos="1980" w:leader="none"/>
              </w:tabs>
              <w:rPr>
                <w:szCs w:val="21"/>
                <w:highlight w:val="none"/>
              </w:rPr>
            </w:pPr>
            <w:r>
              <w:rPr>
                <w:szCs w:val="21"/>
                <w:highlight w:val="none"/>
              </w:rPr>
              <w:t xml:space="preserve">截止时点：提交响应文件截止时间以后、</w:t>
            </w:r>
            <w:r>
              <w:rPr>
                <w:rFonts w:hint="eastAsia"/>
                <w:szCs w:val="21"/>
                <w:highlight w:val="none"/>
              </w:rPr>
              <w:t xml:space="preserve">资格审查阶段采购人或采购代理机构</w:t>
            </w:r>
            <w:r>
              <w:rPr>
                <w:szCs w:val="21"/>
                <w:highlight w:val="none"/>
              </w:rPr>
              <w:t xml:space="preserve">的实际查询时间；</w:t>
            </w:r>
            <w:r>
              <w:rPr>
                <w:szCs w:val="21"/>
                <w:highlight w:val="none"/>
              </w:rPr>
            </w:r>
            <w:r/>
          </w:p>
          <w:p>
            <w:pPr>
              <w:pStyle w:val="982"/>
              <w:tabs>
                <w:tab w:val="left" w:pos="900" w:leader="none"/>
                <w:tab w:val="left" w:pos="1980" w:leader="none"/>
              </w:tabs>
              <w:rPr>
                <w:szCs w:val="21"/>
                <w:highlight w:val="none"/>
              </w:rPr>
            </w:pPr>
            <w:r>
              <w:rPr>
                <w:szCs w:val="21"/>
                <w:highlight w:val="none"/>
              </w:rPr>
              <w:t xml:space="preserve">信用信息查询记录和证据留存具体方式：查询结果网页打印页作为查询记录和证据，与其他采购文件一并保存；</w:t>
            </w:r>
            <w:r>
              <w:rPr>
                <w:szCs w:val="21"/>
                <w:highlight w:val="none"/>
              </w:rPr>
            </w:r>
            <w:r/>
          </w:p>
          <w:p>
            <w:pPr>
              <w:pStyle w:val="982"/>
              <w:tabs>
                <w:tab w:val="left" w:pos="1080" w:leader="none"/>
              </w:tabs>
              <w:rPr>
                <w:szCs w:val="21"/>
                <w:highlight w:val="none"/>
              </w:rPr>
            </w:pPr>
            <w:r>
              <w:rPr>
                <w:szCs w:val="21"/>
                <w:highlight w:val="none"/>
              </w:rPr>
              <w:t xml:space="preserve">信用信息的使用原则：</w:t>
            </w:r>
            <w:r>
              <w:rPr>
                <w:rFonts w:hint="eastAsia"/>
                <w:szCs w:val="21"/>
                <w:highlight w:val="none"/>
              </w:rPr>
              <w:t xml:space="preserve">经认定的被列入失信被执行人、重大税收违法失信主体、</w:t>
            </w:r>
            <w:r>
              <w:rPr>
                <w:szCs w:val="21"/>
                <w:highlight w:val="none"/>
              </w:rPr>
              <w:t xml:space="preserve">政府采购严重违法失信行为记录名单的供应商，其</w:t>
            </w:r>
            <w:r>
              <w:rPr>
                <w:b/>
                <w:szCs w:val="21"/>
                <w:highlight w:val="none"/>
              </w:rPr>
              <w:t xml:space="preserve">响应无效</w:t>
            </w:r>
            <w:r>
              <w:rPr>
                <w:szCs w:val="21"/>
                <w:highlight w:val="none"/>
              </w:rPr>
              <w:t xml:space="preserve">。联合体形式响应的，联合体成员存在不良信用记录，视同联合体存在不良信用记录。</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t xml:space="preserve">无须供应商提供，由采购人查询。</w:t>
            </w: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2</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落实政府采购政策需满足的资格要求</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szCs w:val="21"/>
                <w:highlight w:val="none"/>
              </w:rPr>
              <w:t xml:space="preserve">具体要求见第一章《采购邀请》</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2-1</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中小企业声明函</w:t>
            </w:r>
            <w:r>
              <w:rPr>
                <w:szCs w:val="21"/>
                <w:highlight w:val="none"/>
              </w:rPr>
            </w:r>
            <w:r/>
          </w:p>
        </w:tc>
        <w:tc>
          <w:tcPr>
            <w:tcW w:w="2637" w:type="dxa"/>
            <w:vAlign w:val="center"/>
            <w:textDirection w:val="lrTb"/>
            <w:noWrap w:val="false"/>
          </w:tcPr>
          <w:p>
            <w:pPr>
              <w:pStyle w:val="982"/>
              <w:tabs>
                <w:tab w:val="left" w:pos="1080" w:leader="none"/>
              </w:tabs>
              <w:rPr>
                <w:bCs/>
                <w:szCs w:val="21"/>
                <w:highlight w:val="none"/>
              </w:rPr>
            </w:pPr>
            <w:r>
              <w:rPr>
                <w:rFonts w:hint="eastAsia"/>
                <w:bCs/>
                <w:szCs w:val="21"/>
                <w:highlight w:val="none"/>
              </w:rPr>
              <w:t xml:space="preserve">1、供应商单独参与磋商的，应提供中小企业声明函；如为监狱企业或残疾人福利性单位，不必提供中小企业声明函，但须按注1或注2要求提供证明材料。</w:t>
            </w:r>
            <w:r>
              <w:rPr>
                <w:bCs/>
                <w:szCs w:val="21"/>
                <w:highlight w:val="none"/>
              </w:rPr>
            </w:r>
            <w:r/>
          </w:p>
          <w:p>
            <w:pPr>
              <w:pStyle w:val="982"/>
              <w:tabs>
                <w:tab w:val="left" w:pos="1080" w:leader="none"/>
              </w:tabs>
              <w:rPr>
                <w:bCs/>
                <w:szCs w:val="21"/>
                <w:highlight w:val="none"/>
              </w:rPr>
            </w:pPr>
            <w:r>
              <w:rPr>
                <w:rFonts w:hint="eastAsia"/>
                <w:bCs/>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highlight w:val="none"/>
              </w:rPr>
            </w:r>
            <w:r/>
          </w:p>
          <w:p>
            <w:pPr>
              <w:pStyle w:val="982"/>
              <w:tabs>
                <w:tab w:val="left" w:pos="1080" w:leader="none"/>
              </w:tabs>
              <w:rPr>
                <w:bCs/>
                <w:szCs w:val="21"/>
                <w:highlight w:val="none"/>
              </w:rPr>
            </w:pPr>
            <w:r>
              <w:rPr>
                <w:rFonts w:hint="eastAsia"/>
                <w:bCs/>
                <w:szCs w:val="21"/>
                <w:highlight w:val="none"/>
              </w:rPr>
              <w:t xml:space="preserve">注1：监狱企业须提供由省级以上监狱管理局（常州市含教育矫治局）、戒毒管理局（含新疆生产建设兵团）出具的属于监狱企业的证明文件。</w:t>
            </w:r>
            <w:r>
              <w:rPr>
                <w:bCs/>
                <w:szCs w:val="21"/>
                <w:highlight w:val="none"/>
              </w:rPr>
            </w:r>
            <w:r/>
          </w:p>
          <w:p>
            <w:pPr>
              <w:pStyle w:val="982"/>
              <w:tabs>
                <w:tab w:val="left" w:pos="1080" w:leader="none"/>
              </w:tabs>
              <w:rPr>
                <w:b/>
                <w:szCs w:val="21"/>
                <w:highlight w:val="none"/>
              </w:rPr>
            </w:pPr>
            <w:r>
              <w:rPr>
                <w:rFonts w:hint="eastAsia"/>
                <w:bCs/>
                <w:szCs w:val="21"/>
                <w:highlight w:val="none"/>
              </w:rPr>
              <w:t xml:space="preserve">注2：残疾人福利性单位须按磋商文件要求提供《残疾人福利性单位声明函》。</w:t>
            </w:r>
            <w:r>
              <w:rPr>
                <w:b/>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t xml:space="preserve">格式见《响应文件格式》</w:t>
            </w: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2-3</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其它落实政府采购政策的资格要求</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szCs w:val="21"/>
                <w:highlight w:val="none"/>
              </w:rPr>
              <w:t xml:space="preserve">如有，见第一章《采购邀请》</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t xml:space="preserve">提供证明文件的电子件或电子证照</w:t>
            </w: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3</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本项目的特定资格要求</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szCs w:val="21"/>
                <w:highlight w:val="none"/>
              </w:rPr>
              <w:t xml:space="preserve">如有，见第一章《采购邀请》</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3-1</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是否接受联合体响应</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rFonts w:hint="eastAsia"/>
                <w:szCs w:val="21"/>
                <w:highlight w:val="none"/>
              </w:rPr>
              <w:t xml:space="preserve">不接受联合体响应</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r>
            <w:r/>
          </w:p>
        </w:tc>
      </w:tr>
      <w:tr>
        <w:trPr>
          <w:cantSplit/>
          <w:trHeight w:val="20"/>
        </w:trPr>
        <w:tc>
          <w:tcPr>
            <w:tcW w:w="375" w:type="dxa"/>
            <w:vAlign w:val="center"/>
            <w:textDirection w:val="lrTb"/>
            <w:noWrap w:val="false"/>
          </w:tcPr>
          <w:p>
            <w:pPr>
              <w:pStyle w:val="982"/>
              <w:jc w:val="center"/>
              <w:tabs>
                <w:tab w:val="left" w:pos="1080" w:leader="none"/>
              </w:tabs>
              <w:rPr>
                <w:szCs w:val="21"/>
                <w:highlight w:val="none"/>
              </w:rPr>
            </w:pPr>
            <w:r>
              <w:rPr>
                <w:szCs w:val="21"/>
                <w:highlight w:val="none"/>
              </w:rPr>
              <w:t xml:space="preserve">3-2</w:t>
            </w:r>
            <w:r>
              <w:rPr>
                <w:szCs w:val="21"/>
                <w:highlight w:val="none"/>
              </w:rPr>
            </w:r>
            <w:r/>
          </w:p>
        </w:tc>
        <w:tc>
          <w:tcPr>
            <w:tcW w:w="1014" w:type="dxa"/>
            <w:vAlign w:val="center"/>
            <w:textDirection w:val="lrTb"/>
            <w:noWrap w:val="false"/>
          </w:tcPr>
          <w:p>
            <w:pPr>
              <w:pStyle w:val="982"/>
              <w:tabs>
                <w:tab w:val="left" w:pos="1080" w:leader="none"/>
              </w:tabs>
              <w:rPr>
                <w:szCs w:val="21"/>
                <w:highlight w:val="none"/>
              </w:rPr>
            </w:pPr>
            <w:r>
              <w:rPr>
                <w:szCs w:val="21"/>
                <w:highlight w:val="none"/>
              </w:rPr>
              <w:t xml:space="preserve">其他特定资格要求</w:t>
            </w:r>
            <w:r>
              <w:rPr>
                <w:szCs w:val="21"/>
                <w:highlight w:val="none"/>
              </w:rPr>
            </w:r>
            <w:r/>
          </w:p>
        </w:tc>
        <w:tc>
          <w:tcPr>
            <w:tcW w:w="2637" w:type="dxa"/>
            <w:vAlign w:val="center"/>
            <w:textDirection w:val="lrTb"/>
            <w:noWrap w:val="false"/>
          </w:tcPr>
          <w:p>
            <w:pPr>
              <w:pStyle w:val="982"/>
              <w:tabs>
                <w:tab w:val="left" w:pos="1080" w:leader="none"/>
              </w:tabs>
              <w:rPr>
                <w:szCs w:val="21"/>
                <w:highlight w:val="none"/>
              </w:rPr>
            </w:pPr>
            <w:r>
              <w:rPr>
                <w:szCs w:val="21"/>
                <w:highlight w:val="none"/>
              </w:rPr>
              <w:t xml:space="preserve">如有，见第一章《采购邀请》</w:t>
            </w:r>
            <w:r>
              <w:rPr>
                <w:szCs w:val="21"/>
                <w:highlight w:val="none"/>
              </w:rPr>
            </w:r>
            <w:r/>
          </w:p>
        </w:tc>
        <w:tc>
          <w:tcPr>
            <w:tcW w:w="974" w:type="dxa"/>
            <w:vAlign w:val="center"/>
            <w:textDirection w:val="lrTb"/>
            <w:noWrap w:val="false"/>
          </w:tcPr>
          <w:p>
            <w:pPr>
              <w:pStyle w:val="982"/>
              <w:tabs>
                <w:tab w:val="left" w:pos="1080" w:leader="none"/>
              </w:tabs>
              <w:rPr>
                <w:szCs w:val="21"/>
                <w:highlight w:val="none"/>
              </w:rPr>
            </w:pPr>
            <w:r>
              <w:rPr>
                <w:szCs w:val="21"/>
                <w:highlight w:val="none"/>
              </w:rPr>
              <w:t xml:space="preserve">提供证明文件的电子件或电子证照</w:t>
            </w:r>
            <w:r>
              <w:rPr>
                <w:szCs w:val="21"/>
                <w:highlight w:val="none"/>
              </w:rPr>
            </w:r>
            <w:r/>
          </w:p>
        </w:tc>
      </w:tr>
    </w:tbl>
    <w:p>
      <w:pPr>
        <w:pStyle w:val="982"/>
        <w:jc w:val="left"/>
        <w:widowControl/>
        <w:rPr>
          <w:sz w:val="24"/>
          <w:highlight w:val="none"/>
        </w:rPr>
      </w:pPr>
      <w:r>
        <w:rPr>
          <w:sz w:val="24"/>
          <w:highlight w:val="none"/>
        </w:rPr>
        <w:br w:type="page" w:clear="all"/>
      </w:r>
      <w:r>
        <w:rPr>
          <w:sz w:val="24"/>
          <w:highlight w:val="none"/>
        </w:rPr>
      </w:r>
      <w:r/>
    </w:p>
    <w:p>
      <w:pPr>
        <w:pStyle w:val="982"/>
        <w:numPr>
          <w:ilvl w:val="1"/>
          <w:numId w:val="3"/>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982"/>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82"/>
              <w:jc w:val="center"/>
              <w:widowControl/>
              <w:rPr>
                <w:rFonts w:ascii="宋体" w:hAnsi="宋体"/>
                <w:b/>
                <w:szCs w:val="21"/>
                <w:highlight w:val="none"/>
              </w:rPr>
            </w:pPr>
            <w:r>
              <w:rPr>
                <w:rFonts w:ascii="宋体" w:hAnsi="宋体"/>
                <w:b/>
                <w:szCs w:val="21"/>
                <w:highlight w:val="none"/>
              </w:rPr>
              <w:t xml:space="preserve">序号</w:t>
            </w:r>
            <w:r>
              <w:rPr>
                <w:rFonts w:ascii="宋体" w:hAnsi="宋体"/>
                <w:b/>
                <w:szCs w:val="21"/>
                <w:highlight w:val="none"/>
              </w:rPr>
            </w:r>
            <w:r/>
          </w:p>
        </w:tc>
        <w:tc>
          <w:tcPr>
            <w:tcW w:w="976" w:type="dxa"/>
            <w:vAlign w:val="center"/>
            <w:textDirection w:val="lrTb"/>
            <w:noWrap w:val="false"/>
          </w:tcPr>
          <w:p>
            <w:pPr>
              <w:pStyle w:val="982"/>
              <w:jc w:val="center"/>
              <w:widowControl/>
              <w:rPr>
                <w:rFonts w:ascii="宋体" w:hAnsi="宋体"/>
                <w:b/>
                <w:szCs w:val="21"/>
                <w:highlight w:val="none"/>
              </w:rPr>
            </w:pPr>
            <w:r>
              <w:rPr>
                <w:rFonts w:ascii="宋体" w:hAnsi="宋体"/>
                <w:b/>
                <w:szCs w:val="21"/>
                <w:highlight w:val="none"/>
              </w:rPr>
              <w:t xml:space="preserve">审查因素</w:t>
            </w:r>
            <w:r>
              <w:rPr>
                <w:rFonts w:ascii="宋体" w:hAnsi="宋体"/>
                <w:b/>
                <w:szCs w:val="21"/>
                <w:highlight w:val="none"/>
              </w:rPr>
            </w:r>
            <w:r/>
          </w:p>
        </w:tc>
        <w:tc>
          <w:tcPr>
            <w:tcW w:w="3620" w:type="dxa"/>
            <w:vAlign w:val="center"/>
            <w:textDirection w:val="lrTb"/>
            <w:noWrap w:val="false"/>
          </w:tcPr>
          <w:p>
            <w:pPr>
              <w:pStyle w:val="982"/>
              <w:jc w:val="center"/>
              <w:widowControl/>
              <w:rPr>
                <w:rFonts w:ascii="宋体" w:hAnsi="宋体"/>
                <w:b/>
                <w:szCs w:val="21"/>
                <w:highlight w:val="none"/>
              </w:rPr>
            </w:pPr>
            <w:r>
              <w:rPr>
                <w:rFonts w:ascii="宋体" w:hAnsi="宋体"/>
                <w:b/>
                <w:szCs w:val="21"/>
                <w:highlight w:val="none"/>
              </w:rPr>
              <w:t xml:space="preserve">审查内容</w:t>
            </w:r>
            <w:r>
              <w:rPr>
                <w:rFonts w:ascii="宋体" w:hAnsi="宋体"/>
                <w:b/>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响应函、</w:t>
            </w:r>
            <w:r>
              <w:rPr>
                <w:rFonts w:hint="eastAsia" w:ascii="宋体" w:hAnsi="宋体"/>
                <w:szCs w:val="21"/>
                <w:highlight w:val="none"/>
              </w:rPr>
              <w:t xml:space="preserve">法定代表人资格证明书和政府采购供应商信用承诺书</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按磋商文件要求提供</w:t>
            </w:r>
            <w:r>
              <w:rPr>
                <w:rFonts w:hint="eastAsia" w:ascii="宋体" w:hAnsi="宋体"/>
                <w:szCs w:val="21"/>
                <w:highlight w:val="none"/>
              </w:rPr>
              <w:t xml:space="preserve">响应函、</w:t>
            </w:r>
            <w:r>
              <w:rPr>
                <w:rFonts w:hint="eastAsia" w:ascii="宋体" w:hAnsi="宋体"/>
                <w:szCs w:val="21"/>
                <w:highlight w:val="none"/>
              </w:rPr>
              <w:t xml:space="preserve">法定代表人资格证明书和政府采购供应商信用承诺书</w:t>
            </w:r>
            <w:r>
              <w:rPr>
                <w:rFonts w:ascii="宋体" w:hAnsi="宋体"/>
                <w:szCs w:val="21"/>
                <w:highlight w:val="none"/>
              </w:rPr>
              <w:t xml:space="preserve">；</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响应完整性</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未</w:t>
            </w:r>
            <w:r>
              <w:rPr>
                <w:rFonts w:ascii="宋体" w:hAnsi="宋体"/>
                <w:szCs w:val="21"/>
                <w:highlight w:val="none"/>
              </w:rPr>
              <w:t xml:space="preserve">将一个采购包中的内容拆开响应；</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响应报价</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响应报价</w:t>
            </w:r>
            <w:r>
              <w:rPr>
                <w:rFonts w:hint="eastAsia" w:ascii="宋体" w:hAnsi="宋体"/>
                <w:szCs w:val="21"/>
                <w:highlight w:val="none"/>
              </w:rPr>
              <w:t xml:space="preserve">未</w:t>
            </w:r>
            <w:r>
              <w:rPr>
                <w:rFonts w:ascii="宋体" w:hAnsi="宋体"/>
                <w:szCs w:val="21"/>
                <w:highlight w:val="none"/>
              </w:rPr>
              <w:t xml:space="preserve">超过磋商文件中规定的项目/采购包预算金额或者项目/采购包最高限价</w:t>
            </w:r>
            <w:r>
              <w:rPr>
                <w:rFonts w:ascii="宋体" w:hAnsi="宋体"/>
                <w:szCs w:val="21"/>
                <w:highlight w:val="none"/>
              </w:rPr>
              <w:t xml:space="preserve">；</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报价唯一性</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响应文件</w:t>
            </w:r>
            <w:r>
              <w:rPr>
                <w:rFonts w:hint="eastAsia" w:ascii="宋体" w:hAnsi="宋体"/>
                <w:szCs w:val="21"/>
                <w:highlight w:val="none"/>
              </w:rPr>
              <w:t xml:space="preserve">未</w:t>
            </w:r>
            <w:r>
              <w:rPr>
                <w:rFonts w:hint="eastAsia" w:ascii="宋体" w:hAnsi="宋体"/>
                <w:szCs w:val="21"/>
                <w:highlight w:val="none"/>
              </w:rPr>
              <w:t xml:space="preserve">出现可选择性或可调整的报价（磋商文件另有规定的除外）</w:t>
            </w:r>
            <w:r>
              <w:rPr>
                <w:rFonts w:ascii="宋体" w:hAnsi="宋体"/>
                <w:szCs w:val="21"/>
                <w:highlight w:val="none"/>
              </w:rPr>
              <w:t xml:space="preserve">；</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响应有效期</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响应文件中承诺的响应有效期</w:t>
            </w:r>
            <w:r>
              <w:rPr>
                <w:rFonts w:hint="eastAsia" w:ascii="宋体" w:hAnsi="宋体"/>
                <w:szCs w:val="21"/>
                <w:highlight w:val="none"/>
              </w:rPr>
              <w:t xml:space="preserve">满足</w:t>
            </w:r>
            <w:r>
              <w:rPr>
                <w:rFonts w:ascii="宋体" w:hAnsi="宋体"/>
                <w:szCs w:val="21"/>
                <w:highlight w:val="none"/>
              </w:rPr>
              <w:t xml:space="preserve">磋商文件中载明的响应有效期的；</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6</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签署、加盖公章</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按照磋商文件要求签署、加盖公章的；</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实质性格式</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标记为</w:t>
            </w:r>
            <w:r>
              <w:rPr>
                <w:rFonts w:ascii="宋体" w:hAnsi="宋体"/>
                <w:szCs w:val="21"/>
                <w:highlight w:val="none"/>
              </w:rPr>
              <w:t xml:space="preserve">“实质性格式”的</w:t>
            </w:r>
            <w:r>
              <w:rPr>
                <w:rFonts w:hint="eastAsia" w:ascii="宋体" w:hAnsi="宋体"/>
                <w:szCs w:val="21"/>
                <w:highlight w:val="none"/>
              </w:rPr>
              <w:t xml:space="preserve">文件均按</w:t>
            </w:r>
            <w:r>
              <w:rPr>
                <w:rFonts w:ascii="宋体" w:hAnsi="宋体"/>
                <w:szCs w:val="21"/>
                <w:highlight w:val="none"/>
              </w:rPr>
              <w:t xml:space="preserve">磋商文件</w:t>
            </w:r>
            <w:r>
              <w:rPr>
                <w:rFonts w:hint="eastAsia" w:ascii="宋体" w:hAnsi="宋体"/>
                <w:szCs w:val="21"/>
                <w:highlight w:val="none"/>
              </w:rPr>
              <w:t xml:space="preserve">要求提供；</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8</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cs="Segoe UI Symbol"/>
                <w:szCs w:val="21"/>
                <w:highlight w:val="none"/>
              </w:rPr>
              <w:t xml:space="preserve">★</w:t>
            </w:r>
            <w:r>
              <w:rPr>
                <w:rFonts w:ascii="宋体" w:hAnsi="宋体"/>
                <w:szCs w:val="21"/>
                <w:highlight w:val="none"/>
              </w:rPr>
              <w:t xml:space="preserve">号条款响应</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响应文件满足磋商文件</w:t>
            </w:r>
            <w:r>
              <w:rPr>
                <w:rFonts w:ascii="宋体" w:hAnsi="宋体"/>
                <w:szCs w:val="21"/>
                <w:highlight w:val="none"/>
              </w:rPr>
              <w:t xml:space="preserve">第五章《采购需求》</w:t>
            </w:r>
            <w:r>
              <w:rPr>
                <w:rFonts w:ascii="宋体" w:hAnsi="宋体"/>
                <w:szCs w:val="21"/>
                <w:highlight w:val="none"/>
              </w:rPr>
              <w:t xml:space="preserve">中</w:t>
            </w:r>
            <w:r>
              <w:rPr>
                <w:rFonts w:ascii="宋体" w:hAnsi="宋体" w:cs="Segoe UI Symbol"/>
                <w:szCs w:val="21"/>
                <w:highlight w:val="none"/>
              </w:rPr>
              <w:t xml:space="preserve">★</w:t>
            </w:r>
            <w:r>
              <w:rPr>
                <w:rFonts w:ascii="宋体" w:hAnsi="宋体"/>
                <w:szCs w:val="21"/>
                <w:highlight w:val="none"/>
              </w:rPr>
              <w:t xml:space="preserve">号条款要求的；</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9</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分包承担主体资质（如有）</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分包承担主体具备《供应商须知资料表》载明的资质条件</w:t>
            </w:r>
            <w:r>
              <w:rPr>
                <w:rFonts w:hint="eastAsia" w:ascii="宋体" w:hAnsi="宋体"/>
                <w:szCs w:val="21"/>
                <w:highlight w:val="none"/>
              </w:rPr>
              <w:t xml:space="preserve">且</w:t>
            </w:r>
            <w:r>
              <w:rPr>
                <w:rFonts w:ascii="宋体" w:hAnsi="宋体"/>
                <w:szCs w:val="21"/>
                <w:highlight w:val="none"/>
              </w:rPr>
              <w:t xml:space="preserve">提供</w:t>
            </w:r>
            <w:r>
              <w:rPr>
                <w:rFonts w:hint="eastAsia" w:ascii="宋体" w:hAnsi="宋体"/>
                <w:szCs w:val="21"/>
                <w:highlight w:val="none"/>
              </w:rPr>
              <w:t xml:space="preserve">了</w:t>
            </w:r>
            <w:r>
              <w:rPr>
                <w:rFonts w:ascii="宋体" w:hAnsi="宋体"/>
                <w:szCs w:val="21"/>
                <w:highlight w:val="none"/>
              </w:rPr>
              <w:t xml:space="preserve">资质证书电子件</w:t>
            </w:r>
            <w:r>
              <w:rPr>
                <w:rFonts w:hint="eastAsia" w:ascii="宋体" w:hAnsi="宋体"/>
                <w:szCs w:val="21"/>
                <w:highlight w:val="none"/>
              </w:rPr>
              <w:t xml:space="preserve">（如有）</w:t>
            </w:r>
            <w:r>
              <w:rPr>
                <w:rFonts w:ascii="宋体" w:hAnsi="宋体"/>
                <w:szCs w:val="21"/>
                <w:highlight w:val="none"/>
              </w:rPr>
              <w:t xml:space="preserve">；</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10</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分包意向协议</w:t>
            </w:r>
            <w:r>
              <w:rPr>
                <w:rFonts w:ascii="宋体" w:hAnsi="宋体"/>
                <w:szCs w:val="21"/>
                <w:highlight w:val="none"/>
              </w:rPr>
            </w:r>
            <w:r/>
          </w:p>
          <w:p>
            <w:pPr>
              <w:pStyle w:val="982"/>
              <w:jc w:val="left"/>
              <w:widowControl/>
              <w:rPr>
                <w:rFonts w:ascii="宋体" w:hAnsi="宋体"/>
                <w:szCs w:val="21"/>
                <w:highlight w:val="none"/>
              </w:rPr>
            </w:pPr>
            <w:r>
              <w:rPr>
                <w:rFonts w:ascii="宋体" w:hAnsi="宋体"/>
                <w:szCs w:val="21"/>
                <w:highlight w:val="none"/>
              </w:rPr>
              <w:t xml:space="preserve">（如有）</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按磋商文件规定签订并提供分包意向协议原件的电子件的；</w:t>
            </w:r>
            <w:r>
              <w:rPr>
                <w:rFonts w:hint="eastAsia" w:ascii="宋体" w:hAnsi="宋体"/>
                <w:szCs w:val="21"/>
                <w:highlight w:val="none"/>
              </w:rPr>
              <w:t xml:space="preserve">（如有）</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11</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报价的修正（如有）</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不涉及报价修正</w:t>
            </w:r>
            <w:r>
              <w:rPr>
                <w:rFonts w:ascii="宋体" w:hAnsi="宋体"/>
                <w:szCs w:val="21"/>
                <w:highlight w:val="none"/>
              </w:rPr>
              <w:t xml:space="preserve">，或响应文件报价出现前后不一致</w:t>
            </w:r>
            <w:r>
              <w:rPr>
                <w:rFonts w:hint="eastAsia" w:ascii="宋体" w:hAnsi="宋体"/>
                <w:szCs w:val="21"/>
                <w:highlight w:val="none"/>
              </w:rPr>
              <w:t xml:space="preserve">时</w:t>
            </w:r>
            <w:r>
              <w:rPr>
                <w:rFonts w:ascii="宋体" w:hAnsi="宋体"/>
                <w:szCs w:val="21"/>
                <w:highlight w:val="none"/>
              </w:rPr>
              <w:t xml:space="preserve">，供应商对修正后的报价予</w:t>
            </w:r>
            <w:r>
              <w:rPr>
                <w:rFonts w:hint="eastAsia" w:ascii="宋体" w:hAnsi="宋体"/>
                <w:szCs w:val="21"/>
                <w:highlight w:val="none"/>
              </w:rPr>
              <w:t xml:space="preserve">以</w:t>
            </w:r>
            <w:r>
              <w:rPr>
                <w:rFonts w:ascii="宋体" w:hAnsi="宋体"/>
                <w:szCs w:val="21"/>
                <w:highlight w:val="none"/>
              </w:rPr>
              <w:t xml:space="preserve">确认；（如有）</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进口产品</w:t>
            </w:r>
            <w:r>
              <w:rPr>
                <w:rFonts w:ascii="宋体" w:hAnsi="宋体"/>
                <w:szCs w:val="21"/>
                <w:highlight w:val="none"/>
              </w:rPr>
            </w:r>
            <w:r/>
          </w:p>
          <w:p>
            <w:pPr>
              <w:pStyle w:val="982"/>
              <w:jc w:val="left"/>
              <w:widowControl/>
              <w:rPr>
                <w:rFonts w:ascii="宋体" w:hAnsi="宋体"/>
                <w:szCs w:val="21"/>
                <w:highlight w:val="none"/>
              </w:rPr>
            </w:pPr>
            <w:r>
              <w:rPr>
                <w:rFonts w:ascii="宋体" w:hAnsi="宋体"/>
                <w:szCs w:val="21"/>
                <w:highlight w:val="none"/>
              </w:rPr>
              <w:t xml:space="preserve">（如有）</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磋商文件</w:t>
            </w:r>
            <w:r>
              <w:rPr>
                <w:rFonts w:ascii="宋体" w:hAnsi="宋体"/>
                <w:szCs w:val="21"/>
                <w:highlight w:val="none"/>
              </w:rPr>
              <w:t xml:space="preserve">不接受进口产品响应</w:t>
            </w:r>
            <w:r>
              <w:rPr>
                <w:rFonts w:hint="eastAsia" w:ascii="宋体" w:hAnsi="宋体"/>
                <w:szCs w:val="21"/>
                <w:highlight w:val="none"/>
              </w:rPr>
              <w:t xml:space="preserve">的内容时</w:t>
            </w:r>
            <w:r>
              <w:rPr>
                <w:rFonts w:ascii="宋体" w:hAnsi="宋体"/>
                <w:szCs w:val="21"/>
                <w:highlight w:val="none"/>
              </w:rPr>
              <w:t xml:space="preserve">，</w:t>
            </w:r>
            <w:r>
              <w:rPr>
                <w:rFonts w:hint="eastAsia" w:ascii="宋体" w:hAnsi="宋体"/>
                <w:szCs w:val="21"/>
                <w:highlight w:val="none"/>
              </w:rPr>
              <w:t xml:space="preserve">供应商所投产品非进口产品的；</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国家有关部门对供应商的响应产品有强制性规定或要求的</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国家有关部门对供应商的响应产品有强制性规定或要求的（如相应技术、安全、节能和环保等），供应商的响应产品</w:t>
            </w:r>
            <w:r>
              <w:rPr>
                <w:rFonts w:hint="eastAsia" w:ascii="宋体" w:hAnsi="宋体"/>
                <w:szCs w:val="21"/>
                <w:highlight w:val="none"/>
              </w:rPr>
              <w:t xml:space="preserve">应</w:t>
            </w:r>
            <w:r>
              <w:rPr>
                <w:rFonts w:ascii="宋体" w:hAnsi="宋体"/>
                <w:szCs w:val="21"/>
                <w:highlight w:val="none"/>
              </w:rPr>
              <w:t xml:space="preserve">符合相应规定或要求</w:t>
            </w:r>
            <w:r>
              <w:rPr>
                <w:rFonts w:hint="eastAsia" w:ascii="宋体" w:hAnsi="宋体"/>
                <w:szCs w:val="21"/>
                <w:highlight w:val="none"/>
              </w:rPr>
              <w:t xml:space="preserve">，并提供证明文件电子件：</w:t>
            </w:r>
            <w:r>
              <w:rPr>
                <w:rFonts w:ascii="宋体" w:hAnsi="宋体"/>
                <w:szCs w:val="21"/>
                <w:highlight w:val="none"/>
              </w:rPr>
            </w:r>
            <w:r/>
          </w:p>
          <w:p>
            <w:pPr>
              <w:pStyle w:val="982"/>
              <w:jc w:val="left"/>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highlight w:val="none"/>
              </w:rPr>
            </w:r>
            <w:r/>
          </w:p>
          <w:p>
            <w:pPr>
              <w:pStyle w:val="982"/>
              <w:jc w:val="left"/>
              <w:widowControl/>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响应产品如涉及计算机信息系统安全专用产品的，须</w:t>
            </w:r>
            <w:r>
              <w:rPr>
                <w:rFonts w:hint="eastAsia" w:ascii="宋体" w:hAnsi="宋体"/>
                <w:szCs w:val="21"/>
                <w:highlight w:val="none"/>
              </w:rPr>
              <w:t xml:space="preserve">提供</w:t>
            </w:r>
            <w:r>
              <w:rPr>
                <w:rFonts w:ascii="宋体" w:hAnsi="宋体"/>
                <w:szCs w:val="21"/>
                <w:highlight w:val="none"/>
              </w:rPr>
              <w:t xml:space="preserve">公安部颁发的计算机信息系统安全专用产品销售许可证；</w:t>
            </w:r>
            <w:r>
              <w:rPr>
                <w:rFonts w:ascii="宋体" w:hAnsi="宋体"/>
                <w:szCs w:val="21"/>
                <w:highlight w:val="none"/>
              </w:rPr>
            </w:r>
            <w:r/>
          </w:p>
          <w:p>
            <w:pPr>
              <w:pStyle w:val="982"/>
              <w:jc w:val="left"/>
              <w:widowControl/>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w:t>
            </w:r>
            <w:r>
              <w:rPr>
                <w:rFonts w:ascii="宋体" w:hAnsi="宋体"/>
                <w:szCs w:val="21"/>
                <w:highlight w:val="none"/>
              </w:rPr>
              <w:t xml:space="preserve">响应产品如有属于开展国家信息安全产品认证产品范围的，须</w:t>
            </w:r>
            <w:r>
              <w:rPr>
                <w:rFonts w:hint="eastAsia" w:ascii="宋体" w:hAnsi="宋体"/>
                <w:szCs w:val="21"/>
                <w:highlight w:val="none"/>
              </w:rPr>
              <w:t xml:space="preserve">提供</w:t>
            </w:r>
            <w:r>
              <w:rPr>
                <w:rFonts w:ascii="宋体" w:hAnsi="宋体"/>
                <w:szCs w:val="21"/>
                <w:highlight w:val="none"/>
              </w:rPr>
              <w:t xml:space="preserve">由中国网络安全审查技术与认证中心（原中国信息安全认证中心）按国家标准认证颁发的有效认证证书等）；</w:t>
            </w:r>
            <w:r>
              <w:rPr>
                <w:rFonts w:ascii="宋体" w:hAnsi="宋体"/>
                <w:szCs w:val="21"/>
                <w:highlight w:val="none"/>
              </w:rPr>
            </w:r>
            <w:r/>
          </w:p>
          <w:p>
            <w:pPr>
              <w:pStyle w:val="982"/>
              <w:jc w:val="left"/>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15</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公平竞争</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供应商遵循公平竞争的原则，不存在恶意串通，妨碍其他供应商的竞争行为，不存在损害采购人或者其他供应商的合法权益情形的；</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16</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串通响应</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hint="eastAsia" w:ascii="宋体" w:hAnsi="宋体"/>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highlight w:val="none"/>
              </w:rPr>
              <w:t xml:space="preserve">；</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ascii="宋体" w:hAnsi="宋体"/>
                <w:szCs w:val="21"/>
                <w:highlight w:val="none"/>
              </w:rPr>
              <w:t xml:space="preserve">17</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附加条件</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响应文件</w:t>
            </w:r>
            <w:r>
              <w:rPr>
                <w:rFonts w:hint="eastAsia" w:ascii="宋体" w:hAnsi="宋体"/>
                <w:szCs w:val="21"/>
                <w:highlight w:val="none"/>
              </w:rPr>
              <w:t xml:space="preserve">未</w:t>
            </w:r>
            <w:r>
              <w:rPr>
                <w:rFonts w:ascii="宋体" w:hAnsi="宋体"/>
                <w:szCs w:val="21"/>
                <w:highlight w:val="none"/>
              </w:rPr>
              <w:t xml:space="preserve">含有采购人不能接受的附加条件的；</w:t>
            </w:r>
            <w:r>
              <w:rPr>
                <w:rFonts w:ascii="宋体" w:hAnsi="宋体"/>
                <w:szCs w:val="21"/>
                <w:highlight w:val="none"/>
              </w:rPr>
            </w:r>
            <w:r/>
          </w:p>
        </w:tc>
      </w:tr>
      <w:tr>
        <w:trPr>
          <w:trHeight w:val="685"/>
        </w:trPr>
        <w:tc>
          <w:tcPr>
            <w:tcW w:w="404" w:type="dxa"/>
            <w:vAlign w:val="center"/>
            <w:textDirection w:val="lrTb"/>
            <w:noWrap w:val="false"/>
          </w:tcPr>
          <w:p>
            <w:pPr>
              <w:pStyle w:val="982"/>
              <w:jc w:val="center"/>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8</w:t>
            </w:r>
            <w:r>
              <w:rPr>
                <w:rFonts w:ascii="宋体" w:hAnsi="宋体"/>
                <w:szCs w:val="21"/>
                <w:highlight w:val="none"/>
              </w:rPr>
            </w:r>
            <w:r/>
          </w:p>
        </w:tc>
        <w:tc>
          <w:tcPr>
            <w:tcW w:w="976"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其他无效情形</w:t>
            </w:r>
            <w:r>
              <w:rPr>
                <w:rFonts w:ascii="宋体" w:hAnsi="宋体"/>
                <w:szCs w:val="21"/>
                <w:highlight w:val="none"/>
              </w:rPr>
            </w:r>
            <w:r/>
          </w:p>
        </w:tc>
        <w:tc>
          <w:tcPr>
            <w:tcW w:w="3620" w:type="dxa"/>
            <w:vAlign w:val="center"/>
            <w:textDirection w:val="lrTb"/>
            <w:noWrap w:val="false"/>
          </w:tcPr>
          <w:p>
            <w:pPr>
              <w:pStyle w:val="982"/>
              <w:jc w:val="left"/>
              <w:widowControl/>
              <w:rPr>
                <w:rFonts w:ascii="宋体" w:hAnsi="宋体"/>
                <w:szCs w:val="21"/>
                <w:highlight w:val="none"/>
              </w:rPr>
            </w:pPr>
            <w:r>
              <w:rPr>
                <w:rFonts w:ascii="宋体" w:hAnsi="宋体"/>
                <w:szCs w:val="21"/>
                <w:highlight w:val="none"/>
              </w:rPr>
              <w:t xml:space="preserve">供应商、响应文件</w:t>
            </w:r>
            <w:r>
              <w:rPr>
                <w:rFonts w:hint="eastAsia" w:ascii="宋体" w:hAnsi="宋体"/>
                <w:szCs w:val="21"/>
                <w:highlight w:val="none"/>
              </w:rPr>
              <w:t xml:space="preserve">不存在</w:t>
            </w:r>
            <w:r>
              <w:rPr>
                <w:rFonts w:ascii="宋体" w:hAnsi="宋体"/>
                <w:szCs w:val="21"/>
                <w:highlight w:val="none"/>
              </w:rPr>
              <w:t xml:space="preserve">不符合法律、法规和磋商文件规定的其他无效情形。</w:t>
            </w:r>
            <w:r>
              <w:rPr>
                <w:rFonts w:ascii="宋体" w:hAnsi="宋体"/>
                <w:szCs w:val="21"/>
                <w:highlight w:val="none"/>
              </w:rPr>
            </w:r>
            <w:r/>
          </w:p>
        </w:tc>
      </w:tr>
    </w:tbl>
    <w:p>
      <w:pPr>
        <w:pStyle w:val="982"/>
        <w:numPr>
          <w:ilvl w:val="0"/>
          <w:numId w:val="3"/>
        </w:numPr>
        <w:spacing w:line="360" w:lineRule="auto"/>
        <w:tabs>
          <w:tab w:val="left" w:pos="360" w:leader="none"/>
          <w:tab w:val="left" w:pos="900" w:leader="none"/>
        </w:tabs>
        <w:rPr>
          <w:szCs w:val="21"/>
          <w:highlight w:val="none"/>
        </w:rPr>
        <w:outlineLvl w:val="1"/>
      </w:pPr>
      <w:r>
        <w:rPr>
          <w:szCs w:val="21"/>
          <w:highlight w:val="none"/>
        </w:rPr>
        <w:t xml:space="preserve">磋商、响应文件有关事项的澄清、说明或者更正和最终报价</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磋商小组所有成员应当集中与单一供应商分别进行磋商，并给予所有参加磋商的供应商平等的磋商机会。</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对磋商文件作出的实质性变动是磋商文件的有效组成部分，磋商小组应当及时</w:t>
      </w:r>
      <w:r>
        <w:rPr>
          <w:rFonts w:hint="eastAsia"/>
          <w:szCs w:val="21"/>
          <w:highlight w:val="none"/>
        </w:rPr>
        <w:t xml:space="preserve">通过</w:t>
      </w:r>
      <w:r>
        <w:rPr>
          <w:rFonts w:hint="eastAsia" w:ascii="宋体" w:hAnsi="宋体"/>
          <w:bCs/>
          <w:szCs w:val="21"/>
          <w:highlight w:val="none"/>
        </w:rPr>
        <w:t xml:space="preserve">“苏采云”政府采购交易系统</w:t>
      </w:r>
      <w:r>
        <w:rPr>
          <w:szCs w:val="21"/>
          <w:highlight w:val="none"/>
        </w:rPr>
        <w:t xml:space="preserve">以书面形式同时通知所有参加磋商的供应商。</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响应文件的澄清、说明或者更正</w:t>
      </w:r>
      <w:r>
        <w:rPr>
          <w:rFonts w:hint="eastAsia"/>
          <w:szCs w:val="21"/>
          <w:highlight w:val="none"/>
        </w:rPr>
        <w:t xml:space="preserve">：</w:t>
      </w:r>
      <w:r>
        <w:rPr>
          <w:szCs w:val="21"/>
          <w:highlight w:val="none"/>
        </w:rPr>
      </w:r>
      <w:r/>
    </w:p>
    <w:p>
      <w:pPr>
        <w:pStyle w:val="982"/>
        <w:ind w:left="1080"/>
        <w:spacing w:line="360" w:lineRule="auto"/>
        <w:tabs>
          <w:tab w:val="left" w:pos="1980" w:leader="none"/>
        </w:tabs>
        <w:rPr>
          <w:szCs w:val="21"/>
          <w:highlight w:val="none"/>
        </w:rPr>
      </w:pPr>
      <w:r>
        <w:rPr>
          <w:rFonts w:hint="eastAsia"/>
          <w:szCs w:val="21"/>
          <w:highlight w:val="none"/>
        </w:rPr>
        <w:t xml:space="preserve">评审</w:t>
      </w:r>
      <w:r>
        <w:rPr>
          <w:szCs w:val="21"/>
          <w:highlight w:val="none"/>
        </w:rPr>
        <w:t xml:space="preserve">过程中，</w:t>
      </w:r>
      <w:r>
        <w:rPr>
          <w:rFonts w:hint="eastAsia"/>
          <w:szCs w:val="21"/>
          <w:highlight w:val="none"/>
        </w:rPr>
        <w:t xml:space="preserve">磋商小组</w:t>
      </w:r>
      <w:r>
        <w:rPr>
          <w:szCs w:val="21"/>
          <w:highlight w:val="none"/>
        </w:rPr>
        <w:t xml:space="preserve">会将</w:t>
      </w:r>
      <w:r>
        <w:rPr>
          <w:rFonts w:hint="eastAsia"/>
          <w:szCs w:val="21"/>
          <w:highlight w:val="none"/>
        </w:rPr>
        <w:t xml:space="preserve">通过</w:t>
      </w:r>
      <w:r>
        <w:rPr>
          <w:rFonts w:hint="eastAsia" w:ascii="宋体" w:hAnsi="宋体"/>
          <w:bCs/>
          <w:szCs w:val="21"/>
          <w:highlight w:val="none"/>
        </w:rPr>
        <w:t xml:space="preserve">“苏采云”政府采购交易系统</w:t>
      </w:r>
      <w:r>
        <w:rPr>
          <w:szCs w:val="21"/>
          <w:highlight w:val="none"/>
        </w:rPr>
        <w:t xml:space="preserve">以书面形式要求</w:t>
      </w:r>
      <w:r>
        <w:rPr>
          <w:rFonts w:hint="eastAsia"/>
          <w:szCs w:val="21"/>
          <w:highlight w:val="none"/>
        </w:rPr>
        <w:t xml:space="preserve">供应商</w:t>
      </w:r>
      <w:r>
        <w:rPr>
          <w:szCs w:val="21"/>
          <w:highlight w:val="none"/>
        </w:rPr>
        <w:t xml:space="preserve">对其</w:t>
      </w:r>
      <w:r>
        <w:rPr>
          <w:rFonts w:hint="eastAsia"/>
          <w:szCs w:val="21"/>
          <w:highlight w:val="none"/>
        </w:rPr>
        <w:t xml:space="preserve">响应</w:t>
      </w:r>
      <w:r>
        <w:rPr>
          <w:szCs w:val="21"/>
          <w:highlight w:val="none"/>
        </w:rPr>
        <w:t xml:space="preserve">文件中含义不明确、同类问题表述不一致或者有明显文字和计算错误的内容，作出必要的澄清、说明或者补正。</w:t>
      </w:r>
      <w:r>
        <w:rPr>
          <w:rFonts w:hint="eastAsia"/>
          <w:szCs w:val="21"/>
          <w:highlight w:val="none"/>
        </w:rPr>
        <w:t xml:space="preserve">供应商</w:t>
      </w:r>
      <w:r>
        <w:rPr>
          <w:szCs w:val="21"/>
          <w:highlight w:val="none"/>
        </w:rPr>
        <w:t xml:space="preserve">的澄清、说明或者补正应当采用书面形式，并加盖</w:t>
      </w:r>
      <w:r>
        <w:rPr>
          <w:rFonts w:hint="eastAsia"/>
          <w:szCs w:val="21"/>
          <w:highlight w:val="none"/>
        </w:rPr>
        <w:t xml:space="preserve">电子</w:t>
      </w:r>
      <w:r>
        <w:rPr>
          <w:szCs w:val="21"/>
          <w:highlight w:val="none"/>
        </w:rPr>
        <w:t xml:space="preserve">公章。</w:t>
      </w:r>
      <w:r>
        <w:rPr>
          <w:rFonts w:hint="eastAsia"/>
          <w:szCs w:val="21"/>
          <w:highlight w:val="none"/>
        </w:rPr>
        <w:t xml:space="preserve">供应商</w:t>
      </w:r>
      <w:r>
        <w:rPr>
          <w:szCs w:val="21"/>
          <w:highlight w:val="none"/>
        </w:rPr>
        <w:t xml:space="preserve">的澄清、说明或者补正不得超出</w:t>
      </w:r>
      <w:r>
        <w:rPr>
          <w:rFonts w:hint="eastAsia"/>
          <w:szCs w:val="21"/>
          <w:highlight w:val="none"/>
        </w:rPr>
        <w:t xml:space="preserve">响应</w:t>
      </w:r>
      <w:r>
        <w:rPr>
          <w:szCs w:val="21"/>
          <w:highlight w:val="none"/>
        </w:rPr>
        <w:t xml:space="preserve">文件的范围或者改变</w:t>
      </w:r>
      <w:r>
        <w:rPr>
          <w:rFonts w:hint="eastAsia"/>
          <w:szCs w:val="21"/>
          <w:highlight w:val="none"/>
        </w:rPr>
        <w:t xml:space="preserve">响应</w:t>
      </w:r>
      <w:r>
        <w:rPr>
          <w:szCs w:val="21"/>
          <w:highlight w:val="none"/>
        </w:rPr>
        <w:t xml:space="preserve">文件的实质性内容。澄清文件将作为</w:t>
      </w:r>
      <w:r>
        <w:rPr>
          <w:rFonts w:hint="eastAsia"/>
          <w:szCs w:val="21"/>
          <w:highlight w:val="none"/>
        </w:rPr>
        <w:t xml:space="preserve">响应</w:t>
      </w:r>
      <w:r>
        <w:rPr>
          <w:szCs w:val="21"/>
          <w:highlight w:val="none"/>
        </w:rPr>
        <w:t xml:space="preserve">文件内容的一部分。</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b/>
          <w:szCs w:val="21"/>
          <w:highlight w:val="none"/>
        </w:rPr>
      </w:pPr>
      <w:r>
        <w:rPr>
          <w:rFonts w:hint="eastAsia"/>
          <w:b/>
          <w:szCs w:val="21"/>
          <w:highlight w:val="none"/>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最终报价是供应商响应文件的有效组成部分。</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已提交响应文件的供应商，在提交最终报价之前，可以根据磋商情况退出磋商。</w:t>
      </w:r>
      <w:r>
        <w:rPr>
          <w:szCs w:val="21"/>
          <w:highlight w:val="none"/>
        </w:rPr>
      </w:r>
      <w:r/>
    </w:p>
    <w:p>
      <w:pPr>
        <w:pStyle w:val="982"/>
        <w:numPr>
          <w:ilvl w:val="0"/>
          <w:numId w:val="3"/>
        </w:numPr>
        <w:spacing w:line="360" w:lineRule="auto"/>
        <w:tabs>
          <w:tab w:val="left" w:pos="360" w:leader="none"/>
          <w:tab w:val="left" w:pos="900" w:leader="none"/>
        </w:tabs>
        <w:rPr>
          <w:szCs w:val="21"/>
          <w:highlight w:val="none"/>
        </w:rPr>
        <w:outlineLvl w:val="1"/>
      </w:pPr>
      <w:r>
        <w:rPr>
          <w:szCs w:val="21"/>
          <w:highlight w:val="none"/>
        </w:rPr>
        <w:t xml:space="preserve">最终报价的算术修正及政策调整</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最终报价须包含竞争性磋商文件全部内容，如</w:t>
      </w:r>
      <w:r>
        <w:rPr>
          <w:rFonts w:hint="eastAsia"/>
          <w:szCs w:val="21"/>
          <w:highlight w:val="none"/>
        </w:rPr>
        <w:t xml:space="preserve">最后</w:t>
      </w:r>
      <w:r>
        <w:rPr>
          <w:szCs w:val="21"/>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highlight w:val="none"/>
        </w:rPr>
        <w:t xml:space="preserve">响应无效</w:t>
      </w:r>
      <w:r>
        <w:rPr>
          <w:szCs w:val="21"/>
          <w:highlight w:val="none"/>
        </w:rPr>
        <w:t xml:space="preserve">。</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最终报价出现前后不一致的，按照下列规定修正：</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highlight w:val="none"/>
        </w:rPr>
      </w:pPr>
      <w:r>
        <w:rPr>
          <w:szCs w:val="21"/>
          <w:highlight w:val="none"/>
        </w:rPr>
        <w:t xml:space="preserve">竞争性磋商文件对于报价修正是否另有规定：</w:t>
      </w:r>
      <w:r>
        <w:rPr>
          <w:szCs w:val="21"/>
          <w:highlight w:val="none"/>
        </w:rPr>
      </w:r>
      <w:r/>
    </w:p>
    <w:p>
      <w:pPr>
        <w:pStyle w:val="982"/>
        <w:ind w:left="2035"/>
        <w:spacing w:line="360" w:lineRule="auto"/>
        <w:tabs>
          <w:tab w:val="left" w:pos="1080" w:leader="none"/>
          <w:tab w:val="left" w:pos="1589" w:leader="none"/>
          <w:tab w:val="left" w:pos="2035" w:leader="none"/>
          <w:tab w:val="left" w:pos="2114" w:leader="none"/>
        </w:tabs>
        <w:rPr>
          <w:szCs w:val="21"/>
          <w:highlight w:val="none"/>
          <w:u w:val="single"/>
        </w:rPr>
      </w:pPr>
      <w:r>
        <w:rPr>
          <w:szCs w:val="21"/>
          <w:highlight w:val="none"/>
        </w:rPr>
        <w:t xml:space="preserve">□有，具体规定为：__</w:t>
      </w:r>
      <w:r>
        <w:rPr>
          <w:rFonts w:hint="eastAsia"/>
          <w:szCs w:val="21"/>
          <w:highlight w:val="none"/>
          <w:u w:val="single"/>
        </w:rPr>
        <w:t xml:space="preserve">/</w:t>
      </w:r>
      <w:r>
        <w:rPr>
          <w:szCs w:val="21"/>
          <w:highlight w:val="none"/>
        </w:rPr>
        <w:t xml:space="preserve">__</w:t>
      </w:r>
      <w:r>
        <w:rPr>
          <w:szCs w:val="21"/>
          <w:highlight w:val="none"/>
          <w:u w:val="single"/>
        </w:rPr>
      </w:r>
      <w:r/>
    </w:p>
    <w:p>
      <w:pPr>
        <w:pStyle w:val="982"/>
        <w:ind w:left="2035"/>
        <w:spacing w:line="360" w:lineRule="auto"/>
        <w:tabs>
          <w:tab w:val="left" w:pos="1080" w:leader="none"/>
          <w:tab w:val="left" w:pos="1589" w:leader="none"/>
          <w:tab w:val="left" w:pos="2035" w:leader="none"/>
          <w:tab w:val="left" w:pos="2114" w:leader="none"/>
        </w:tabs>
        <w:rPr>
          <w:szCs w:val="21"/>
          <w:highlight w:val="none"/>
        </w:rPr>
      </w:pPr>
      <w:r>
        <w:rPr>
          <w:szCs w:val="21"/>
          <w:highlight w:val="none"/>
        </w:rPr>
        <w:t xml:space="preserve">□无，按下述3.2.2-3.2.5项规定修正。</w:t>
      </w:r>
      <w:r>
        <w:rPr>
          <w:szCs w:val="21"/>
          <w:highlight w:val="none"/>
        </w:rPr>
      </w:r>
      <w:r/>
    </w:p>
    <w:p>
      <w:pPr>
        <w:pStyle w:val="982"/>
        <w:numPr>
          <w:ilvl w:val="2"/>
          <w:numId w:val="3"/>
        </w:numPr>
        <w:ind w:left="2035"/>
        <w:spacing w:line="360" w:lineRule="auto"/>
        <w:tabs>
          <w:tab w:val="left" w:pos="1980" w:leader="none"/>
          <w:tab w:val="left" w:pos="2035" w:leader="none"/>
          <w:tab w:val="left" w:pos="2114" w:leader="none"/>
          <w:tab w:val="left" w:pos="2977" w:leader="none"/>
        </w:tabs>
        <w:rPr>
          <w:szCs w:val="21"/>
          <w:highlight w:val="none"/>
        </w:rPr>
      </w:pPr>
      <w:r>
        <w:rPr>
          <w:szCs w:val="21"/>
          <w:highlight w:val="none"/>
        </w:rPr>
        <w:t xml:space="preserve">大写金额和小写金额不一致的，以大写金额为准；</w:t>
      </w:r>
      <w:r>
        <w:rPr>
          <w:szCs w:val="21"/>
          <w:highlight w:val="none"/>
        </w:rPr>
      </w:r>
      <w:r/>
    </w:p>
    <w:p>
      <w:pPr>
        <w:pStyle w:val="982"/>
        <w:numPr>
          <w:ilvl w:val="2"/>
          <w:numId w:val="3"/>
        </w:numPr>
        <w:ind w:left="2035"/>
        <w:spacing w:line="360" w:lineRule="auto"/>
        <w:tabs>
          <w:tab w:val="left" w:pos="1980" w:leader="none"/>
          <w:tab w:val="left" w:pos="2035" w:leader="none"/>
          <w:tab w:val="left" w:pos="2114" w:leader="none"/>
          <w:tab w:val="left" w:pos="2977" w:leader="none"/>
        </w:tabs>
        <w:rPr>
          <w:szCs w:val="21"/>
          <w:highlight w:val="none"/>
        </w:rPr>
      </w:pPr>
      <w:r>
        <w:rPr>
          <w:szCs w:val="21"/>
          <w:highlight w:val="none"/>
        </w:rPr>
        <w:t xml:space="preserve">单价金额小数点或者百分比有明显错位的，以最终报价一览表的总价为准，并修改单价；</w:t>
      </w:r>
      <w:r>
        <w:rPr>
          <w:szCs w:val="21"/>
          <w:highlight w:val="none"/>
        </w:rPr>
      </w:r>
      <w:r/>
    </w:p>
    <w:p>
      <w:pPr>
        <w:pStyle w:val="982"/>
        <w:numPr>
          <w:ilvl w:val="2"/>
          <w:numId w:val="3"/>
        </w:numPr>
        <w:ind w:left="2035"/>
        <w:spacing w:line="360" w:lineRule="auto"/>
        <w:tabs>
          <w:tab w:val="left" w:pos="1980" w:leader="none"/>
          <w:tab w:val="left" w:pos="2035" w:leader="none"/>
          <w:tab w:val="left" w:pos="2114" w:leader="none"/>
          <w:tab w:val="left" w:pos="2977" w:leader="none"/>
        </w:tabs>
        <w:rPr>
          <w:szCs w:val="21"/>
          <w:highlight w:val="none"/>
        </w:rPr>
      </w:pPr>
      <w:r>
        <w:rPr>
          <w:szCs w:val="21"/>
          <w:highlight w:val="none"/>
        </w:rPr>
        <w:t xml:space="preserve">总价金额与按单价汇总金额不一致的，以单价金额计算结果为准。</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highlight w:val="none"/>
        </w:rPr>
      </w:pPr>
      <w:r>
        <w:rPr>
          <w:szCs w:val="21"/>
          <w:highlight w:val="none"/>
        </w:rPr>
        <w:t xml:space="preserve">同时出现两种以上不一致的，按照前款规定的顺序修正。修正后的报价经供应商书面确认后产生约束力，供应商不确认的，</w:t>
      </w:r>
      <w:r>
        <w:rPr>
          <w:b/>
          <w:szCs w:val="21"/>
          <w:highlight w:val="none"/>
        </w:rPr>
        <w:t xml:space="preserve">其响应无效</w:t>
      </w:r>
      <w:r>
        <w:rPr>
          <w:szCs w:val="21"/>
          <w:highlight w:val="none"/>
        </w:rPr>
        <w:t xml:space="preserve">。</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落实政府采购政策的价格调整：只有符合第二章《供应商须知》4.2条规定情形的，可以享受中小企业扶持政策，用扣除后的价格参加评审；否则，评审时价格不予扣除。</w:t>
      </w:r>
      <w:r>
        <w:rPr>
          <w:szCs w:val="21"/>
          <w:highlight w:val="none"/>
        </w:rPr>
      </w:r>
      <w:r/>
    </w:p>
    <w:p>
      <w:pPr>
        <w:pStyle w:val="982"/>
        <w:numPr>
          <w:ilvl w:val="2"/>
          <w:numId w:val="3"/>
        </w:numPr>
        <w:spacing w:line="360" w:lineRule="auto"/>
        <w:tabs>
          <w:tab w:val="left" w:pos="1980" w:leader="none"/>
        </w:tabs>
        <w:rPr>
          <w:szCs w:val="21"/>
          <w:highlight w:val="none"/>
        </w:rPr>
      </w:pPr>
      <w:r>
        <w:rPr>
          <w:szCs w:val="21"/>
          <w:highlight w:val="none"/>
        </w:rPr>
        <w:t xml:space="preserve">对于未预留份额专门面向中小企业采购的采购项目，以及预留份额项目中的非预留部分采购包，对</w:t>
      </w:r>
      <w:r>
        <w:rPr>
          <w:b/>
          <w:szCs w:val="21"/>
          <w:highlight w:val="none"/>
        </w:rPr>
        <w:t xml:space="preserve">小微企业</w:t>
      </w:r>
      <w:r>
        <w:rPr>
          <w:szCs w:val="21"/>
          <w:highlight w:val="none"/>
        </w:rPr>
        <w:t xml:space="preserve">报价给予</w:t>
      </w:r>
      <w:r>
        <w:rPr>
          <w:rFonts w:hint="eastAsia"/>
          <w:szCs w:val="21"/>
          <w:highlight w:val="none"/>
        </w:rPr>
        <w:t xml:space="preserve">20</w:t>
      </w:r>
      <w:r>
        <w:rPr>
          <w:szCs w:val="21"/>
          <w:highlight w:val="none"/>
        </w:rPr>
        <w:t xml:space="preserve">%的扣除，用扣除后的价格参加评审。</w:t>
      </w:r>
      <w:r>
        <w:rPr>
          <w:szCs w:val="21"/>
          <w:highlight w:val="none"/>
        </w:rPr>
      </w:r>
      <w:r/>
    </w:p>
    <w:p>
      <w:pPr>
        <w:pStyle w:val="982"/>
        <w:numPr>
          <w:ilvl w:val="2"/>
          <w:numId w:val="3"/>
        </w:numPr>
        <w:spacing w:line="360" w:lineRule="auto"/>
        <w:tabs>
          <w:tab w:val="left" w:pos="1980" w:leader="none"/>
        </w:tabs>
        <w:rPr>
          <w:szCs w:val="21"/>
          <w:highlight w:val="none"/>
        </w:rPr>
      </w:pPr>
      <w:r>
        <w:rPr>
          <w:szCs w:val="21"/>
          <w:highlight w:val="none"/>
        </w:rPr>
        <w:t xml:space="preserve">对于未预留份额专门面向中小企业采购的采购项目，以及预留份额项目中的非预留部分采购包，且接受大中型企业与</w:t>
      </w:r>
      <w:r>
        <w:rPr>
          <w:b/>
          <w:szCs w:val="21"/>
          <w:highlight w:val="none"/>
        </w:rPr>
        <w:t xml:space="preserve">小微企业</w:t>
      </w:r>
      <w:r>
        <w:rPr>
          <w:szCs w:val="21"/>
          <w:highlight w:val="none"/>
        </w:rPr>
        <w:t xml:space="preserve">组成联合体或者允许大中型企业向一家或者多家</w:t>
      </w:r>
      <w:r>
        <w:rPr>
          <w:b/>
          <w:szCs w:val="21"/>
          <w:highlight w:val="none"/>
        </w:rPr>
        <w:t xml:space="preserve">小微企业</w:t>
      </w:r>
      <w:r>
        <w:rPr>
          <w:szCs w:val="21"/>
          <w:highlight w:val="none"/>
        </w:rPr>
        <w:t xml:space="preserve">分包的采购项目，对于联合协议或者分包意向协议约定</w:t>
      </w:r>
      <w:r>
        <w:rPr>
          <w:b/>
          <w:szCs w:val="21"/>
          <w:highlight w:val="none"/>
        </w:rPr>
        <w:t xml:space="preserve">小微企业</w:t>
      </w:r>
      <w:r>
        <w:rPr>
          <w:szCs w:val="21"/>
          <w:highlight w:val="none"/>
        </w:rPr>
        <w:t xml:space="preserve">的合同份额占到合同总金额 30%以上的联合体或者大中型企业的报价给予</w:t>
      </w:r>
      <w:r>
        <w:rPr>
          <w:rFonts w:hint="eastAsia"/>
          <w:szCs w:val="21"/>
          <w:highlight w:val="none"/>
        </w:rPr>
        <w:t xml:space="preserve">3</w:t>
      </w:r>
      <w:r>
        <w:rPr>
          <w:szCs w:val="21"/>
          <w:highlight w:val="none"/>
        </w:rPr>
        <w:t xml:space="preserve">%的扣除，用扣除后的价格参加评审。</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s>
        <w:rPr>
          <w:szCs w:val="21"/>
          <w:highlight w:val="none"/>
        </w:rPr>
      </w:pPr>
      <w:r>
        <w:rPr>
          <w:szCs w:val="21"/>
          <w:highlight w:val="none"/>
        </w:rPr>
        <w:t xml:space="preserve">组成联合体或者接受分包的小微企业与联合体内其他企业、分包企业之间存在直接控股、管理关系的，不享受价格扣除优惠政策。</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s>
        <w:rPr>
          <w:szCs w:val="21"/>
          <w:highlight w:val="none"/>
        </w:rPr>
      </w:pPr>
      <w:r>
        <w:rPr>
          <w:szCs w:val="21"/>
          <w:highlight w:val="none"/>
        </w:rPr>
        <w:t xml:space="preserve">价格扣除比例对小型企业和微型企业同等对待，不作区分。</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s>
        <w:rPr>
          <w:szCs w:val="21"/>
          <w:highlight w:val="none"/>
        </w:rPr>
      </w:pPr>
      <w:r>
        <w:rPr>
          <w:szCs w:val="21"/>
          <w:highlight w:val="none"/>
        </w:rPr>
        <w:t xml:space="preserve">中小企业参加政府采购活动，应当按照竞争性磋商文件给定的格式出具《中小企业声明函》，否则不得享受相关中小企业扶持政策。</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s>
        <w:rPr>
          <w:szCs w:val="21"/>
          <w:highlight w:val="none"/>
        </w:rPr>
      </w:pPr>
      <w:r>
        <w:rPr>
          <w:szCs w:val="21"/>
          <w:highlight w:val="none"/>
        </w:rPr>
        <w:t xml:space="preserve">监狱企业提供了由省级以上监狱管理局（常州市含教育矫治局）、戒毒管理局（含新疆生产建设兵团）出具的属于监狱企业的证明文件的，视同小微企业。</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35" w:leader="none"/>
        </w:tabs>
        <w:rPr>
          <w:szCs w:val="21"/>
          <w:highlight w:val="none"/>
        </w:rPr>
      </w:pPr>
      <w:r>
        <w:rPr>
          <w:szCs w:val="21"/>
          <w:highlight w:val="none"/>
        </w:rPr>
        <w:t xml:space="preserve">残疾人福利性单位按竞争性磋商文件要求提供了《残疾人福利性单位声明函》（见附件）的，视同小微企业。</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14" w:leader="none"/>
        </w:tabs>
        <w:rPr>
          <w:szCs w:val="21"/>
          <w:highlight w:val="none"/>
        </w:rPr>
      </w:pPr>
      <w:r>
        <w:rPr>
          <w:szCs w:val="21"/>
          <w:highlight w:val="none"/>
        </w:rPr>
        <w:t xml:space="preserve">若供应商同时属于小型或微型企业、监狱企业、残疾人福利性单位中的两种及以上，将不重复享受小微企业价格扣减的优惠政策。</w:t>
      </w:r>
      <w:r>
        <w:rPr>
          <w:szCs w:val="21"/>
          <w:highlight w:val="none"/>
        </w:rPr>
      </w:r>
      <w:r/>
    </w:p>
    <w:p>
      <w:pPr>
        <w:pStyle w:val="982"/>
        <w:numPr>
          <w:ilvl w:val="2"/>
          <w:numId w:val="3"/>
        </w:numPr>
        <w:ind w:left="2035"/>
        <w:spacing w:line="360" w:lineRule="auto"/>
        <w:tabs>
          <w:tab w:val="left" w:pos="1080" w:leader="none"/>
          <w:tab w:val="left" w:pos="1589" w:leader="none"/>
          <w:tab w:val="left" w:pos="1980" w:leader="none"/>
          <w:tab w:val="left" w:pos="2014" w:leader="none"/>
        </w:tabs>
        <w:rPr>
          <w:szCs w:val="21"/>
          <w:highlight w:val="none"/>
        </w:rPr>
      </w:pPr>
      <w:r>
        <w:rPr>
          <w:szCs w:val="21"/>
          <w:highlight w:val="none"/>
        </w:rPr>
        <w:t xml:space="preserve">其他为落实政府采购政策实施的优先采购：</w:t>
      </w:r>
      <w:r>
        <w:rPr>
          <w:szCs w:val="21"/>
          <w:highlight w:val="none"/>
          <w:u w:val="single"/>
        </w:rPr>
        <w:t xml:space="preserve">_</w:t>
      </w:r>
      <w:r>
        <w:rPr>
          <w:rFonts w:hint="eastAsia"/>
          <w:szCs w:val="21"/>
          <w:highlight w:val="none"/>
          <w:u w:val="single"/>
        </w:rPr>
        <w:t xml:space="preserve">/</w:t>
      </w:r>
      <w:r>
        <w:rPr>
          <w:szCs w:val="21"/>
          <w:highlight w:val="none"/>
        </w:rPr>
        <w:t xml:space="preserve">_。</w:t>
      </w:r>
      <w:r>
        <w:rPr>
          <w:szCs w:val="21"/>
          <w:highlight w:val="none"/>
        </w:rPr>
      </w:r>
      <w:r/>
    </w:p>
    <w:p>
      <w:pPr>
        <w:pStyle w:val="982"/>
        <w:numPr>
          <w:ilvl w:val="0"/>
          <w:numId w:val="3"/>
        </w:numPr>
        <w:spacing w:line="360" w:lineRule="auto"/>
        <w:tabs>
          <w:tab w:val="left" w:pos="360" w:leader="none"/>
          <w:tab w:val="left" w:pos="900" w:leader="none"/>
        </w:tabs>
        <w:rPr>
          <w:szCs w:val="21"/>
          <w:highlight w:val="none"/>
        </w:rPr>
        <w:outlineLvl w:val="1"/>
      </w:pPr>
      <w:r>
        <w:rPr>
          <w:szCs w:val="21"/>
          <w:highlight w:val="none"/>
        </w:rPr>
        <w:t xml:space="preserve">磋商环节及提交最终报价后如出现以下情况的，供应商的</w:t>
      </w:r>
      <w:r>
        <w:rPr>
          <w:b/>
          <w:szCs w:val="21"/>
          <w:highlight w:val="none"/>
        </w:rPr>
        <w:t xml:space="preserve">响应文件无效</w:t>
      </w:r>
      <w:r>
        <w:rPr>
          <w:szCs w:val="21"/>
          <w:highlight w:val="none"/>
        </w:rPr>
        <w:t xml:space="preserve">：</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供应商对实质性变动不予确认的；</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不满足磋商文件</w:t>
      </w:r>
      <w:r>
        <w:rPr>
          <w:rFonts w:ascii="Segoe UI Symbol" w:hAnsi="Segoe UI Symbol" w:cs="Segoe UI Symbol"/>
          <w:szCs w:val="21"/>
          <w:highlight w:val="none"/>
        </w:rPr>
        <w:t xml:space="preserve">★</w:t>
      </w:r>
      <w:r>
        <w:rPr>
          <w:szCs w:val="21"/>
          <w:highlight w:val="none"/>
        </w:rPr>
        <w:t xml:space="preserve">号条款或磋商文件技术指标超出磋商文件</w:t>
      </w:r>
      <w:r>
        <w:rPr>
          <w:rFonts w:hint="eastAsia"/>
          <w:szCs w:val="21"/>
          <w:highlight w:val="none"/>
        </w:rPr>
        <w:t xml:space="preserve">《</w:t>
      </w:r>
      <w:r>
        <w:rPr>
          <w:szCs w:val="21"/>
          <w:highlight w:val="none"/>
        </w:rPr>
        <w:t xml:space="preserve">采购需求</w:t>
      </w:r>
      <w:r>
        <w:rPr>
          <w:rFonts w:hint="eastAsia"/>
          <w:szCs w:val="21"/>
          <w:highlight w:val="none"/>
        </w:rPr>
        <w:t xml:space="preserve">》</w:t>
      </w:r>
      <w:r>
        <w:rPr>
          <w:szCs w:val="21"/>
          <w:highlight w:val="none"/>
        </w:rPr>
        <w:t xml:space="preserve">中主要技术参数允许偏差的最大范围的（如有）；</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未按照磋商小组规定的时间、逾期提交最终报价的；</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如供应商的最终报价超过竞争性磋商文件中规定的项目/采购包预算金额或者项目/采购包最高限价的；</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响应文件中出现可选择性或可调整的报价的（竞争性磋商文件另有规定的除外）；</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最终报价出现前后不一致，供应商对修正后的报价不予确认的；</w:t>
      </w:r>
      <w:r>
        <w:rPr>
          <w:szCs w:val="21"/>
          <w:highlight w:val="none"/>
        </w:rPr>
      </w:r>
      <w:r/>
    </w:p>
    <w:p>
      <w:pPr>
        <w:pStyle w:val="982"/>
        <w:numPr>
          <w:ilvl w:val="1"/>
          <w:numId w:val="3"/>
        </w:numPr>
        <w:ind w:left="1077" w:hanging="720"/>
        <w:spacing w:line="360" w:lineRule="auto"/>
        <w:tabs>
          <w:tab w:val="left" w:pos="1080" w:leader="none"/>
          <w:tab w:val="left" w:pos="1589" w:leader="none"/>
        </w:tabs>
        <w:rPr>
          <w:szCs w:val="21"/>
          <w:highlight w:val="none"/>
        </w:rPr>
      </w:pPr>
      <w:r>
        <w:rPr>
          <w:szCs w:val="21"/>
          <w:highlight w:val="none"/>
        </w:rPr>
        <w:t xml:space="preserve">其他：</w:t>
      </w:r>
      <w:r>
        <w:rPr>
          <w:rFonts w:hint="eastAsia"/>
          <w:b/>
          <w:bCs/>
          <w:szCs w:val="21"/>
          <w:highlight w:val="none"/>
          <w:u w:val="single"/>
          <w:lang w:val="en-US" w:eastAsia="zh-CN"/>
        </w:rPr>
        <w:t xml:space="preserve">根据苏财购〔2025〕62号 关于推动解决政府采购异常低价问题相关工作的通知规定，</w:t>
      </w:r>
      <w:r>
        <w:rPr>
          <w:rFonts w:hint="eastAsia" w:ascii="Times New Roman" w:hAnsi="Times New Roman" w:eastAsia="宋体" w:cs="Times New Roman"/>
          <w:b/>
          <w:bCs/>
          <w:szCs w:val="21"/>
          <w:highlight w:val="none"/>
          <w:u w:val="single"/>
          <w:lang w:val="en-US" w:eastAsia="zh-CN"/>
        </w:rPr>
        <w:t xml:space="preserve">评审过程中出现下列情形之一的，评审委员会应当启动异常低价投标（响应）审查程序：</w:t>
      </w:r>
      <w:r>
        <w:rPr>
          <w:szCs w:val="21"/>
          <w:highlight w:val="none"/>
        </w:rPr>
      </w:r>
      <w:r/>
    </w:p>
    <w:p>
      <w:pPr>
        <w:pStyle w:val="982"/>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（1）投标（响应）报价低于采购项目预算50%的，即投标（响应）报价＜采购项目预算×50%；</w:t>
      </w:r>
      <w:r>
        <w:rPr>
          <w:rFonts w:hint="eastAsia" w:ascii="Times New Roman" w:hAnsi="Times New Roman" w:eastAsia="宋体" w:cs="Times New Roman"/>
          <w:b/>
          <w:bCs/>
          <w:szCs w:val="21"/>
          <w:highlight w:val="none"/>
          <w:u w:val="single"/>
          <w:lang w:val="en-US" w:eastAsia="zh-CN"/>
        </w:rPr>
      </w:r>
      <w:r/>
    </w:p>
    <w:p>
      <w:pPr>
        <w:pStyle w:val="982"/>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（2）投标（响应）报价低于采购项目最高限价45%的，即投标（响应）报价＜采购项目最高限价×45%；</w:t>
      </w:r>
      <w:r>
        <w:rPr>
          <w:rFonts w:hint="eastAsia" w:ascii="Times New Roman" w:hAnsi="Times New Roman" w:eastAsia="宋体" w:cs="Times New Roman"/>
          <w:b/>
          <w:bCs/>
          <w:szCs w:val="21"/>
          <w:highlight w:val="none"/>
          <w:u w:val="single"/>
          <w:lang w:val="en-US" w:eastAsia="zh-CN"/>
        </w:rPr>
      </w:r>
      <w:r/>
    </w:p>
    <w:p>
      <w:pPr>
        <w:pStyle w:val="982"/>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Cs w:val="21"/>
          <w:highlight w:val="none"/>
          <w:u w:val="single"/>
          <w:lang w:val="en-US" w:eastAsia="zh-CN"/>
        </w:rPr>
      </w:r>
      <w:r/>
    </w:p>
    <w:p>
      <w:pPr>
        <w:pStyle w:val="982"/>
        <w:numPr>
          <w:ilvl w:val="0"/>
          <w:numId w:val="0"/>
        </w:numPr>
        <w:ind w:left="357"/>
        <w:spacing w:line="360" w:lineRule="auto"/>
        <w:tabs>
          <w:tab w:val="left" w:pos="1080" w:leader="none"/>
        </w:tabs>
        <w:rPr>
          <w:szCs w:val="21"/>
          <w:highlight w:val="none"/>
        </w:rPr>
      </w:pPr>
      <w:r>
        <w:rPr>
          <w:rFonts w:hint="eastAsia" w:ascii="Times New Roman" w:hAnsi="Times New Roman" w:eastAsia="宋体" w:cs="Times New Roman"/>
          <w:b/>
          <w:bCs/>
          <w:szCs w:val="21"/>
          <w:highlight w:val="none"/>
          <w:u w:val="singl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Cs w:val="21"/>
          <w:highlight w:val="none"/>
        </w:rPr>
      </w:r>
      <w:r/>
    </w:p>
    <w:p>
      <w:pPr>
        <w:pStyle w:val="982"/>
        <w:numPr>
          <w:ilvl w:val="0"/>
          <w:numId w:val="3"/>
        </w:numPr>
        <w:spacing w:line="360" w:lineRule="auto"/>
        <w:tabs>
          <w:tab w:val="left" w:pos="360" w:leader="none"/>
          <w:tab w:val="left" w:pos="900" w:leader="none"/>
        </w:tabs>
        <w:rPr>
          <w:szCs w:val="21"/>
          <w:highlight w:val="none"/>
        </w:rPr>
        <w:outlineLvl w:val="1"/>
      </w:pPr>
      <w:r/>
      <w:bookmarkEnd w:id="605"/>
      <w:r/>
      <w:bookmarkEnd w:id="606"/>
      <w:r>
        <w:rPr>
          <w:szCs w:val="21"/>
          <w:highlight w:val="none"/>
        </w:rPr>
        <w:t xml:space="preserve">评审方法和评审标准</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竞争性磋商文件中没有规定的评审标准不得作为评审依据。</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非政府强制采购的节能产品或环境标志产品，依据品目清单和认证证书实施政府优先采购。优先采购的具体规定（如涉及）_</w:t>
      </w:r>
      <w:r>
        <w:rPr>
          <w:rFonts w:hint="eastAsia"/>
          <w:szCs w:val="21"/>
          <w:highlight w:val="none"/>
          <w:u w:val="single"/>
        </w:rPr>
        <w:t xml:space="preserve">/</w:t>
      </w:r>
      <w:r>
        <w:rPr>
          <w:szCs w:val="21"/>
          <w:highlight w:val="none"/>
        </w:rPr>
        <w:t xml:space="preserve">_。</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关于无线局域网认证产品政府采购清单中的产品，优先采购的具体规定（如涉及）__</w:t>
      </w:r>
      <w:r>
        <w:rPr>
          <w:rFonts w:hint="eastAsia"/>
          <w:szCs w:val="21"/>
          <w:highlight w:val="none"/>
          <w:u w:val="single"/>
        </w:rPr>
        <w:t xml:space="preserve">/</w:t>
      </w:r>
      <w:r>
        <w:rPr>
          <w:szCs w:val="21"/>
          <w:highlight w:val="none"/>
        </w:rPr>
        <w:t xml:space="preserve">_。</w:t>
      </w:r>
      <w:r>
        <w:rPr>
          <w:szCs w:val="21"/>
          <w:highlight w:val="none"/>
        </w:rPr>
      </w:r>
      <w:r/>
    </w:p>
    <w:p>
      <w:pPr>
        <w:pStyle w:val="982"/>
        <w:numPr>
          <w:ilvl w:val="0"/>
          <w:numId w:val="3"/>
        </w:numPr>
        <w:spacing w:line="360" w:lineRule="auto"/>
        <w:tabs>
          <w:tab w:val="left" w:pos="360" w:leader="none"/>
          <w:tab w:val="left" w:pos="900" w:leader="none"/>
        </w:tabs>
        <w:rPr>
          <w:szCs w:val="21"/>
          <w:highlight w:val="none"/>
        </w:rPr>
        <w:outlineLvl w:val="1"/>
      </w:pPr>
      <w:r>
        <w:rPr>
          <w:szCs w:val="21"/>
          <w:highlight w:val="none"/>
        </w:rPr>
        <w:t xml:space="preserve">确定</w:t>
      </w:r>
      <w:bookmarkStart w:id="621" w:name="_Toc226965736"/>
      <w:r/>
      <w:bookmarkStart w:id="622" w:name="_Toc150480784"/>
      <w:r/>
      <w:bookmarkStart w:id="623" w:name="_Toc151193860"/>
      <w:r/>
      <w:bookmarkStart w:id="624" w:name="_Toc305158814"/>
      <w:r/>
      <w:bookmarkStart w:id="625" w:name="_Toc226309790"/>
      <w:r/>
      <w:bookmarkStart w:id="626" w:name="_Toc151193644"/>
      <w:r/>
      <w:bookmarkStart w:id="627" w:name="_Toc127151546"/>
      <w:r/>
      <w:bookmarkStart w:id="628" w:name="_Toc226965819"/>
      <w:r/>
      <w:bookmarkStart w:id="629" w:name="_Toc127151747"/>
      <w:r/>
      <w:bookmarkStart w:id="630" w:name="_Toc195842911"/>
      <w:r/>
      <w:bookmarkStart w:id="631" w:name="_Toc164608660"/>
      <w:r/>
      <w:bookmarkStart w:id="632" w:name="_Toc150774751"/>
      <w:r/>
      <w:bookmarkStart w:id="633" w:name="_Ref467307010"/>
      <w:r/>
      <w:bookmarkStart w:id="634" w:name="_Toc151193788"/>
      <w:r/>
      <w:bookmarkStart w:id="635" w:name="_Toc150509297"/>
      <w:r/>
      <w:bookmarkStart w:id="636" w:name="_Toc164229387"/>
      <w:r/>
      <w:bookmarkStart w:id="637" w:name="_Toc151193934"/>
      <w:r/>
      <w:bookmarkStart w:id="638" w:name="_Toc151193716"/>
      <w:r/>
      <w:bookmarkStart w:id="639" w:name="_Toc226337242"/>
      <w:r/>
      <w:bookmarkStart w:id="640" w:name="_Toc151190173"/>
      <w:r/>
      <w:bookmarkStart w:id="641" w:name="_Toc142311048"/>
      <w:r/>
      <w:bookmarkStart w:id="642" w:name="_Toc265228384"/>
      <w:r/>
      <w:bookmarkStart w:id="643" w:name="_Toc520356170"/>
      <w:r/>
      <w:bookmarkStart w:id="644" w:name="_Toc164229241"/>
      <w:r/>
      <w:bookmarkStart w:id="645" w:name="_Toc127161460"/>
      <w:r/>
      <w:bookmarkStart w:id="646" w:name="_Toc149720839"/>
      <w:r/>
      <w:bookmarkStart w:id="647" w:name="_Toc164351640"/>
      <w:r/>
      <w:bookmarkStart w:id="648" w:name="_Toc150774646"/>
      <w:r/>
      <w:bookmarkStart w:id="649" w:name="_Toc264969236"/>
      <w:r/>
      <w:bookmarkStart w:id="650" w:name="_Toc164608815"/>
      <w:r/>
      <w:bookmarkStart w:id="651" w:name="_Toc305158888"/>
      <w:r>
        <w:rPr>
          <w:szCs w:val="21"/>
          <w:highlight w:val="none"/>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磋商小组根据上述供应商排序，依次推荐排序前</w:t>
      </w:r>
      <w:r>
        <w:rPr>
          <w:rFonts w:hint="eastAsia"/>
          <w:szCs w:val="21"/>
          <w:highlight w:val="none"/>
        </w:rPr>
        <w:t xml:space="preserve">3</w:t>
      </w:r>
      <w:r>
        <w:rPr>
          <w:szCs w:val="21"/>
          <w:highlight w:val="none"/>
        </w:rPr>
        <w:t xml:space="preserve">名</w:t>
      </w:r>
      <w:r>
        <w:rPr>
          <w:szCs w:val="21"/>
          <w:highlight w:val="none"/>
        </w:rPr>
        <w:t xml:space="preserve">的供应商为</w:t>
      </w:r>
      <w:r>
        <w:rPr>
          <w:szCs w:val="21"/>
          <w:highlight w:val="none"/>
        </w:rPr>
        <w:t xml:space="preserve">成交候选供应商</w:t>
      </w:r>
      <w:r>
        <w:rPr>
          <w:szCs w:val="21"/>
          <w:highlight w:val="none"/>
        </w:rPr>
        <w:t xml:space="preserve">（若在磋商文件允许的情形下提交最终报价的供应商为二家，则依次推荐二名供应商为成交候选供应商），并编写评审报告。</w:t>
      </w:r>
      <w:r>
        <w:rPr>
          <w:szCs w:val="21"/>
          <w:highlight w:val="none"/>
        </w:rPr>
      </w:r>
      <w:r/>
    </w:p>
    <w:p>
      <w:pPr>
        <w:pStyle w:val="982"/>
        <w:numPr>
          <w:ilvl w:val="1"/>
          <w:numId w:val="3"/>
        </w:numPr>
        <w:ind w:left="1077" w:hanging="720"/>
        <w:spacing w:line="360" w:lineRule="auto"/>
        <w:tabs>
          <w:tab w:val="left" w:pos="1080" w:leader="none"/>
          <w:tab w:val="left" w:pos="1589" w:leader="none"/>
          <w:tab w:val="left" w:pos="1872" w:leader="none"/>
        </w:tabs>
        <w:rPr>
          <w:szCs w:val="21"/>
          <w:highlight w:val="none"/>
        </w:rPr>
      </w:pPr>
      <w:r>
        <w:rPr>
          <w:szCs w:val="21"/>
          <w:highlight w:val="none"/>
        </w:rPr>
        <w:t xml:space="preserve">磋商小组要对评分汇总情况进行复核，特别是对排名第一的、报价最低的、响应文件被认定为无效的情形进行重点复核。</w:t>
      </w:r>
      <w:r>
        <w:rPr>
          <w:szCs w:val="21"/>
          <w:highlight w:val="none"/>
        </w:rPr>
      </w:r>
      <w:r/>
    </w:p>
    <w:p>
      <w:pPr>
        <w:pStyle w:val="982"/>
        <w:numPr>
          <w:ilvl w:val="0"/>
          <w:numId w:val="3"/>
        </w:numPr>
        <w:spacing w:line="360" w:lineRule="auto"/>
        <w:tabs>
          <w:tab w:val="left" w:pos="360" w:leader="none"/>
          <w:tab w:val="left" w:pos="900" w:leader="none"/>
        </w:tabs>
        <w:rPr>
          <w:szCs w:val="21"/>
          <w:highlight w:val="none"/>
        </w:rPr>
        <w:outlineLvl w:val="1"/>
      </w:pPr>
      <w:r>
        <w:rPr>
          <w:szCs w:val="21"/>
          <w:highlight w:val="none"/>
        </w:rPr>
        <w:t xml:space="preserve">报告违法行为</w:t>
      </w:r>
      <w:r>
        <w:rPr>
          <w:szCs w:val="21"/>
          <w:highlight w:val="none"/>
        </w:rPr>
      </w:r>
      <w:r/>
    </w:p>
    <w:p>
      <w:pPr>
        <w:pStyle w:val="982"/>
        <w:numPr>
          <w:ilvl w:val="1"/>
          <w:numId w:val="3"/>
        </w:numPr>
        <w:ind w:left="1077" w:hanging="720"/>
        <w:jc w:val="left"/>
        <w:spacing w:line="360" w:lineRule="auto"/>
        <w:widowControl/>
        <w:tabs>
          <w:tab w:val="left" w:pos="1080" w:leader="none"/>
          <w:tab w:val="left" w:pos="1589" w:leader="none"/>
          <w:tab w:val="left" w:pos="1872" w:leader="none"/>
        </w:tabs>
        <w:rPr>
          <w:b/>
          <w:szCs w:val="21"/>
          <w:highlight w:val="none"/>
        </w:rPr>
      </w:pPr>
      <w:r>
        <w:rPr>
          <w:szCs w:val="21"/>
          <w:highlight w:val="none"/>
        </w:rPr>
        <w:t xml:space="preserve">磋商小组在评审过程中发现供应商有行贿、提供虚假材料或者串通等违法行为时，有向采购人、采购代理机构或者有关部门报告的职责。</w:t>
      </w:r>
      <w:r>
        <w:rPr>
          <w:b/>
          <w:szCs w:val="21"/>
          <w:highlight w:val="none"/>
        </w:rPr>
        <w:br w:type="page" w:clear="all"/>
      </w:r>
      <w:r>
        <w:rPr>
          <w:b/>
          <w:szCs w:val="21"/>
          <w:highlight w:val="none"/>
        </w:rPr>
      </w:r>
      <w:r/>
    </w:p>
    <w:p>
      <w:pPr>
        <w:pStyle w:val="98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82"/>
              <w:ind w:firstLine="28"/>
              <w:jc w:val="center"/>
              <w:rPr>
                <w:rFonts w:ascii="宋体" w:hAnsi="宋体"/>
                <w:b/>
                <w:szCs w:val="21"/>
                <w:highlight w:val="none"/>
              </w:rPr>
            </w:pPr>
            <w:r>
              <w:rPr>
                <w:rFonts w:ascii="宋体" w:hAnsi="宋体"/>
                <w:b/>
                <w:szCs w:val="21"/>
                <w:highlight w:val="none"/>
              </w:rPr>
              <w:t xml:space="preserve">序号</w:t>
            </w:r>
            <w:r>
              <w:rPr>
                <w:rFonts w:ascii="宋体" w:hAnsi="宋体"/>
                <w:b/>
                <w:szCs w:val="21"/>
                <w:highlight w:val="none"/>
              </w:rPr>
            </w:r>
            <w:r/>
          </w:p>
        </w:tc>
        <w:tc>
          <w:tcPr>
            <w:tcW w:w="1462" w:type="dxa"/>
            <w:vAlign w:val="center"/>
            <w:textDirection w:val="lrTb"/>
            <w:noWrap w:val="false"/>
          </w:tcPr>
          <w:p>
            <w:pPr>
              <w:pStyle w:val="982"/>
              <w:ind w:firstLine="28"/>
              <w:jc w:val="center"/>
              <w:rPr>
                <w:rFonts w:ascii="宋体" w:hAnsi="宋体"/>
                <w:b/>
                <w:szCs w:val="21"/>
                <w:highlight w:val="none"/>
              </w:rPr>
            </w:pPr>
            <w:r>
              <w:rPr>
                <w:rFonts w:ascii="宋体" w:hAnsi="宋体"/>
                <w:b/>
                <w:szCs w:val="21"/>
                <w:highlight w:val="none"/>
              </w:rPr>
              <w:t xml:space="preserve">评分因素</w:t>
            </w:r>
            <w:r>
              <w:rPr>
                <w:rFonts w:ascii="宋体" w:hAnsi="宋体"/>
                <w:b/>
                <w:szCs w:val="21"/>
                <w:highlight w:val="none"/>
              </w:rPr>
            </w:r>
            <w:r/>
          </w:p>
        </w:tc>
        <w:tc>
          <w:tcPr>
            <w:tcW w:w="913" w:type="dxa"/>
            <w:vAlign w:val="center"/>
            <w:textDirection w:val="lrTb"/>
            <w:noWrap w:val="false"/>
          </w:tcPr>
          <w:p>
            <w:pPr>
              <w:pStyle w:val="982"/>
              <w:ind w:firstLine="28"/>
              <w:jc w:val="center"/>
              <w:rPr>
                <w:rFonts w:ascii="宋体" w:hAnsi="宋体"/>
                <w:b/>
                <w:szCs w:val="21"/>
                <w:highlight w:val="none"/>
              </w:rPr>
            </w:pPr>
            <w:r>
              <w:rPr>
                <w:rFonts w:ascii="宋体" w:hAnsi="宋体"/>
                <w:b/>
                <w:szCs w:val="21"/>
                <w:highlight w:val="none"/>
              </w:rPr>
              <w:t xml:space="preserve">分值</w:t>
            </w:r>
            <w:r>
              <w:rPr>
                <w:rFonts w:ascii="宋体" w:hAnsi="宋体"/>
                <w:b/>
                <w:szCs w:val="21"/>
                <w:highlight w:val="none"/>
              </w:rPr>
            </w:r>
            <w:r/>
          </w:p>
        </w:tc>
        <w:tc>
          <w:tcPr>
            <w:tcW w:w="3978" w:type="dxa"/>
            <w:vAlign w:val="center"/>
            <w:textDirection w:val="lrTb"/>
            <w:noWrap w:val="false"/>
          </w:tcPr>
          <w:p>
            <w:pPr>
              <w:pStyle w:val="982"/>
              <w:ind w:firstLine="28"/>
              <w:jc w:val="center"/>
              <w:rPr>
                <w:rFonts w:ascii="宋体" w:hAnsi="宋体"/>
                <w:b/>
                <w:szCs w:val="21"/>
                <w:highlight w:val="none"/>
              </w:rPr>
            </w:pPr>
            <w:r>
              <w:rPr>
                <w:rFonts w:ascii="宋体" w:hAnsi="宋体"/>
                <w:b/>
                <w:szCs w:val="21"/>
                <w:highlight w:val="none"/>
              </w:rPr>
              <w:t xml:space="preserve">评分标准</w:t>
            </w:r>
            <w:r>
              <w:rPr>
                <w:rFonts w:ascii="宋体" w:hAnsi="宋体"/>
                <w:b/>
                <w:szCs w:val="21"/>
                <w:highlight w:val="none"/>
              </w:rPr>
            </w:r>
            <w:r/>
          </w:p>
        </w:tc>
        <w:tc>
          <w:tcPr>
            <w:gridSpan w:val="2"/>
            <w:tcW w:w="2440" w:type="dxa"/>
            <w:vAlign w:val="center"/>
            <w:textDirection w:val="lrTb"/>
            <w:noWrap w:val="false"/>
          </w:tcPr>
          <w:p>
            <w:pPr>
              <w:pStyle w:val="1226"/>
              <w:spacing w:before="0" w:after="0" w:line="240" w:lineRule="auto"/>
              <w:rPr>
                <w:rFonts w:ascii="宋体" w:hAnsi="宋体" w:eastAsia="宋体"/>
                <w:sz w:val="21"/>
                <w:szCs w:val="21"/>
                <w:highlight w:val="none"/>
              </w:rPr>
            </w:pPr>
            <w:r>
              <w:rPr>
                <w:rFonts w:ascii="宋体" w:hAnsi="宋体" w:eastAsia="宋体"/>
                <w:sz w:val="21"/>
                <w:szCs w:val="21"/>
                <w:highlight w:val="none"/>
              </w:rPr>
              <w:t xml:space="preserve">说明</w:t>
            </w:r>
            <w:r>
              <w:rPr>
                <w:rFonts w:ascii="宋体" w:hAnsi="宋体" w:eastAsia="宋体"/>
                <w:sz w:val="21"/>
                <w:szCs w:val="21"/>
                <w:highlight w:val="none"/>
              </w:rPr>
            </w:r>
            <w:r/>
          </w:p>
        </w:tc>
      </w:tr>
      <w:tr>
        <w:trPr>
          <w:trHeight w:val="631"/>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价格分</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30分</w:t>
            </w:r>
            <w:r>
              <w:rPr>
                <w:rFonts w:ascii="宋体" w:hAnsi="宋体"/>
                <w:szCs w:val="21"/>
                <w:highlight w:val="none"/>
              </w:rPr>
            </w:r>
            <w:r/>
          </w:p>
        </w:tc>
        <w:tc>
          <w:tcPr>
            <w:tcW w:w="3978" w:type="dxa"/>
            <w:vAlign w:val="center"/>
            <w:textDirection w:val="lrTb"/>
            <w:noWrap w:val="false"/>
          </w:tcPr>
          <w:p>
            <w:pPr>
              <w:pStyle w:val="982"/>
              <w:rPr>
                <w:rFonts w:ascii="宋体" w:hAnsi="宋体"/>
                <w:szCs w:val="21"/>
                <w:highlight w:val="none"/>
              </w:rPr>
            </w:pPr>
            <w:r>
              <w:rPr>
                <w:rFonts w:ascii="宋体" w:hAnsi="宋体"/>
                <w:szCs w:val="21"/>
                <w:highlight w:val="none"/>
              </w:rPr>
              <w:t xml:space="preserve">满足磋商文件要求且</w:t>
            </w:r>
            <w:r>
              <w:rPr>
                <w:rFonts w:hint="eastAsia" w:ascii="宋体" w:hAnsi="宋体"/>
                <w:szCs w:val="21"/>
                <w:highlight w:val="none"/>
              </w:rPr>
              <w:t xml:space="preserve">最终报价</w:t>
            </w:r>
            <w:r>
              <w:rPr>
                <w:rFonts w:ascii="宋体" w:hAnsi="宋体"/>
                <w:szCs w:val="21"/>
                <w:highlight w:val="none"/>
              </w:rPr>
              <w:t xml:space="preserve">最低的报价为评标基准价，其价格分为满分。其他供应商的价格分统一按照下列公式计算：</w:t>
            </w:r>
            <w:r>
              <w:rPr>
                <w:rFonts w:ascii="宋体" w:hAnsi="宋体"/>
                <w:szCs w:val="21"/>
                <w:highlight w:val="none"/>
              </w:rPr>
            </w:r>
            <w:r/>
          </w:p>
          <w:p>
            <w:pPr>
              <w:pStyle w:val="982"/>
              <w:rPr>
                <w:rFonts w:ascii="宋体" w:hAnsi="宋体"/>
                <w:szCs w:val="21"/>
                <w:highlight w:val="none"/>
              </w:rPr>
            </w:pPr>
            <w:r>
              <w:rPr>
                <w:rFonts w:hint="eastAsia" w:ascii="宋体" w:hAnsi="宋体"/>
                <w:szCs w:val="21"/>
                <w:highlight w:val="none"/>
              </w:rPr>
              <w:t xml:space="preserve">价格分</w:t>
            </w:r>
            <w:r>
              <w:rPr>
                <w:rFonts w:ascii="宋体" w:hAnsi="宋体"/>
                <w:szCs w:val="21"/>
                <w:highlight w:val="none"/>
              </w:rPr>
              <w:t xml:space="preserve">得分＝（评标基准价/</w:t>
            </w:r>
            <w:r>
              <w:rPr>
                <w:rFonts w:hint="eastAsia" w:ascii="宋体" w:hAnsi="宋体"/>
                <w:szCs w:val="21"/>
                <w:highlight w:val="none"/>
              </w:rPr>
              <w:t xml:space="preserve">最终报价</w:t>
            </w:r>
            <w:r>
              <w:rPr>
                <w:rFonts w:ascii="宋体" w:hAnsi="宋体"/>
                <w:szCs w:val="21"/>
                <w:highlight w:val="none"/>
              </w:rPr>
              <w:t xml:space="preserve">）×分值。</w:t>
            </w:r>
            <w:r>
              <w:rPr>
                <w:rFonts w:ascii="宋体" w:hAnsi="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hint="eastAsia" w:ascii="宋体" w:hAnsi="宋体"/>
                <w:bCs/>
                <w:szCs w:val="21"/>
                <w:highlight w:val="none"/>
              </w:rPr>
              <w:t xml:space="preserve">本项目专门面向中小微企业采购，不再执行价格扣除优惠政策。</w:t>
            </w: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主观分</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35分</w:t>
            </w:r>
            <w:r>
              <w:rPr>
                <w:rFonts w:ascii="宋体" w:hAnsi="宋体"/>
                <w:szCs w:val="21"/>
                <w:highlight w:val="none"/>
              </w:rPr>
            </w:r>
            <w:r/>
          </w:p>
        </w:tc>
        <w:tc>
          <w:tcPr>
            <w:tcW w:w="3978" w:type="dxa"/>
            <w:vAlign w:val="center"/>
            <w:textDirection w:val="lrTb"/>
            <w:noWrap w:val="false"/>
          </w:tcPr>
          <w:p>
            <w:pPr>
              <w:pStyle w:val="982"/>
              <w:rPr>
                <w:rFonts w:ascii="宋体" w:hAnsi="宋体"/>
                <w:szCs w:val="21"/>
                <w:highlight w:val="none"/>
              </w:rPr>
            </w:pPr>
            <w:r>
              <w:rPr>
                <w:rFonts w:ascii="宋体" w:hAnsi="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2.1</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总体施工组织及规划</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7分</w:t>
            </w:r>
            <w:r>
              <w:rPr>
                <w:rFonts w:ascii="宋体" w:hAnsi="宋体"/>
                <w:szCs w:val="21"/>
                <w:highlight w:val="none"/>
              </w:rPr>
            </w:r>
            <w:r/>
          </w:p>
        </w:tc>
        <w:tc>
          <w:tcPr>
            <w:tcW w:w="3978" w:type="dxa"/>
            <w:vAlign w:val="center"/>
            <w:textDirection w:val="lrTb"/>
            <w:noWrap w:val="false"/>
          </w:tcPr>
          <w:p>
            <w:pPr>
              <w:pStyle w:val="982"/>
              <w:widowControl/>
              <w:rPr>
                <w:rFonts w:ascii="宋体" w:hAnsi="宋体" w:cs="宋体"/>
                <w:szCs w:val="21"/>
                <w:highlight w:val="none"/>
              </w:rPr>
            </w:pPr>
            <w:r>
              <w:rPr>
                <w:rFonts w:hint="eastAsia" w:ascii="宋体" w:hAnsi="宋体" w:cs="宋体"/>
                <w:szCs w:val="21"/>
                <w:highlight w:val="none"/>
              </w:rPr>
              <w:t xml:space="preserve">对总体施工布置及规划、施工工艺流程、各分部分项工程工序计划安排进行评分。对施工、管理等的标准化、智能化方案和保证措施进行评分。</w:t>
            </w:r>
            <w:r>
              <w:rPr>
                <w:rFonts w:ascii="宋体" w:hAnsi="宋体" w:cs="宋体"/>
                <w:szCs w:val="21"/>
                <w:highlight w:val="none"/>
              </w:rPr>
            </w:r>
            <w:r/>
          </w:p>
          <w:p>
            <w:pPr>
              <w:pStyle w:val="982"/>
              <w:widowControl/>
              <w:rPr>
                <w:rFonts w:ascii="宋体" w:hAnsi="宋体"/>
                <w:highlight w:val="none"/>
              </w:rPr>
            </w:pPr>
            <w:r>
              <w:rPr>
                <w:rFonts w:hint="eastAsia" w:ascii="宋体" w:hAnsi="宋体"/>
                <w:highlight w:val="none"/>
              </w:rPr>
              <w:t xml:space="preserve">提供的总体施工组织及规划完善性、符合性、合理性、可行性较高的，得7分；</w:t>
            </w:r>
            <w:r>
              <w:rPr>
                <w:rFonts w:ascii="宋体" w:hAnsi="宋体"/>
                <w:highlight w:val="none"/>
              </w:rPr>
            </w:r>
            <w:r/>
          </w:p>
          <w:p>
            <w:pPr>
              <w:pStyle w:val="982"/>
              <w:widowControl/>
              <w:rPr>
                <w:rFonts w:ascii="宋体" w:hAnsi="宋体"/>
                <w:highlight w:val="none"/>
              </w:rPr>
            </w:pPr>
            <w:r>
              <w:rPr>
                <w:rFonts w:hint="eastAsia" w:ascii="宋体" w:hAnsi="宋体"/>
                <w:highlight w:val="none"/>
              </w:rPr>
              <w:t xml:space="preserve">提供的总体施工组织及规划完善性、符合性、合理性、可行性一般的，得5分；</w:t>
            </w:r>
            <w:r>
              <w:rPr>
                <w:rFonts w:ascii="宋体" w:hAnsi="宋体"/>
                <w:highlight w:val="none"/>
              </w:rPr>
            </w:r>
            <w:r/>
          </w:p>
          <w:p>
            <w:pPr>
              <w:pStyle w:val="982"/>
              <w:widowControl/>
              <w:rPr>
                <w:rFonts w:ascii="宋体" w:hAnsi="宋体"/>
                <w:highlight w:val="none"/>
              </w:rPr>
            </w:pPr>
            <w:r>
              <w:rPr>
                <w:rFonts w:hint="eastAsia" w:ascii="宋体" w:hAnsi="宋体"/>
                <w:highlight w:val="none"/>
              </w:rPr>
              <w:t xml:space="preserve">提供的总体施工组织及规划完善性、符合性、合理性、可行性较差的，得3分；</w:t>
            </w:r>
            <w:r>
              <w:rPr>
                <w:rFonts w:ascii="宋体" w:hAnsi="宋体"/>
                <w:highlight w:val="none"/>
              </w:rPr>
            </w:r>
            <w:r/>
          </w:p>
          <w:p>
            <w:pPr>
              <w:pStyle w:val="982"/>
              <w:rPr>
                <w:rFonts w:ascii="宋体" w:hAnsi="宋体"/>
                <w:szCs w:val="21"/>
                <w:highlight w:val="none"/>
              </w:rPr>
            </w:pPr>
            <w:r>
              <w:rPr>
                <w:rFonts w:hint="eastAsia"/>
                <w:highlight w:val="none"/>
              </w:rPr>
              <w:t xml:space="preserve">未提供不得分。</w:t>
            </w:r>
            <w:r>
              <w:rPr>
                <w:rFonts w:ascii="宋体" w:hAnsi="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2.2</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主要工程项目的施工方案、方法与技术措施</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7分</w:t>
            </w:r>
            <w:r>
              <w:rPr>
                <w:rFonts w:ascii="宋体" w:hAnsi="宋体"/>
                <w:szCs w:val="21"/>
                <w:highlight w:val="none"/>
              </w:rPr>
            </w:r>
            <w:r/>
          </w:p>
        </w:tc>
        <w:tc>
          <w:tcPr>
            <w:tcW w:w="3978" w:type="dxa"/>
            <w:vAlign w:val="center"/>
            <w:textDirection w:val="lrTb"/>
            <w:noWrap w:val="false"/>
          </w:tcPr>
          <w:p>
            <w:pPr>
              <w:pStyle w:val="982"/>
              <w:widowControl/>
              <w:rPr>
                <w:rFonts w:ascii="宋体" w:hAnsi="宋体" w:cs="宋体"/>
                <w:szCs w:val="21"/>
                <w:highlight w:val="none"/>
              </w:rPr>
            </w:pPr>
            <w:r>
              <w:rPr>
                <w:rFonts w:hint="eastAsia" w:ascii="宋体" w:hAnsi="宋体" w:cs="宋体"/>
                <w:szCs w:val="21"/>
                <w:highlight w:val="none"/>
              </w:rPr>
              <w:t xml:space="preserve">对本项目主要工程项目的施工方案、施工方法与技术措施的先进性、合理性、可靠性、安全性等方面进行评分。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提供的方案和措施先进性、合理性、可靠性、安全性较高的，得7分；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提供的方案和措施先进性、合理性、可靠性、安全性一般的，得5分；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提供的方案和措施先进性、合理性、可靠性、安全性较差的，得3分；</w:t>
            </w:r>
            <w:r>
              <w:rPr>
                <w:rFonts w:ascii="宋体" w:hAnsi="宋体" w:cs="宋体"/>
                <w:szCs w:val="21"/>
                <w:highlight w:val="none"/>
              </w:rPr>
            </w:r>
            <w:r/>
          </w:p>
          <w:p>
            <w:pPr>
              <w:pStyle w:val="982"/>
              <w:rPr>
                <w:rFonts w:ascii="宋体" w:hAnsi="宋体"/>
                <w:szCs w:val="21"/>
                <w:highlight w:val="none"/>
              </w:rPr>
            </w:pPr>
            <w:r>
              <w:rPr>
                <w:rFonts w:hint="eastAsia"/>
                <w:highlight w:val="none"/>
              </w:rPr>
              <w:t xml:space="preserve">未提供不得分。</w:t>
            </w:r>
            <w:r>
              <w:rPr>
                <w:rFonts w:ascii="宋体" w:hAnsi="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2.3</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工程质量管理、工期保证体系及保证措施</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7分</w:t>
            </w:r>
            <w:r>
              <w:rPr>
                <w:rFonts w:ascii="宋体" w:hAnsi="宋体"/>
                <w:szCs w:val="21"/>
                <w:highlight w:val="none"/>
              </w:rPr>
            </w:r>
            <w:r/>
          </w:p>
        </w:tc>
        <w:tc>
          <w:tcPr>
            <w:tcW w:w="3978" w:type="dxa"/>
            <w:vAlign w:val="center"/>
            <w:textDirection w:val="lrTb"/>
            <w:noWrap w:val="false"/>
          </w:tcPr>
          <w:p>
            <w:pPr>
              <w:pStyle w:val="982"/>
              <w:rPr>
                <w:rFonts w:ascii="宋体" w:hAnsi="宋体"/>
                <w:szCs w:val="21"/>
                <w:highlight w:val="none"/>
              </w:rPr>
            </w:pPr>
            <w:r>
              <w:rPr>
                <w:rFonts w:hint="eastAsia" w:ascii="宋体" w:hAnsi="宋体"/>
                <w:szCs w:val="21"/>
                <w:highlight w:val="none"/>
              </w:rPr>
              <w:t xml:space="preserve">根据工程质量管理、工期保证体系与保证措施是否满足要求进行评分。</w:t>
            </w:r>
            <w:r>
              <w:rPr>
                <w:rFonts w:ascii="宋体" w:hAnsi="宋体"/>
                <w:szCs w:val="21"/>
                <w:highlight w:val="none"/>
              </w:rPr>
            </w:r>
            <w:r/>
          </w:p>
          <w:p>
            <w:pPr>
              <w:pStyle w:val="982"/>
              <w:rPr>
                <w:rFonts w:ascii="宋体" w:hAnsi="宋体"/>
                <w:szCs w:val="21"/>
                <w:highlight w:val="none"/>
              </w:rPr>
            </w:pPr>
            <w:r>
              <w:rPr>
                <w:rFonts w:hint="eastAsia" w:ascii="宋体" w:hAnsi="宋体"/>
                <w:szCs w:val="21"/>
                <w:highlight w:val="none"/>
              </w:rPr>
              <w:t xml:space="preserve">提供的工程质量管理、工期保证体系及保证措施完整性、可操作性、有效性较高的，得7分；</w:t>
            </w:r>
            <w:r>
              <w:rPr>
                <w:rFonts w:ascii="宋体" w:hAnsi="宋体"/>
                <w:szCs w:val="21"/>
                <w:highlight w:val="none"/>
              </w:rPr>
            </w:r>
            <w:r/>
          </w:p>
          <w:p>
            <w:pPr>
              <w:pStyle w:val="982"/>
              <w:rPr>
                <w:rFonts w:ascii="宋体" w:hAnsi="宋体"/>
                <w:szCs w:val="21"/>
                <w:highlight w:val="none"/>
              </w:rPr>
            </w:pPr>
            <w:r>
              <w:rPr>
                <w:rFonts w:hint="eastAsia" w:ascii="宋体" w:hAnsi="宋体"/>
                <w:szCs w:val="21"/>
                <w:highlight w:val="none"/>
              </w:rPr>
              <w:t xml:space="preserve">提供的工程质量管理、工期保证体系及保证措施完整性、可操作性、有效性一般的，得5分；</w:t>
            </w:r>
            <w:r>
              <w:rPr>
                <w:rFonts w:ascii="宋体" w:hAnsi="宋体"/>
                <w:szCs w:val="21"/>
                <w:highlight w:val="none"/>
              </w:rPr>
            </w:r>
            <w:r/>
          </w:p>
          <w:p>
            <w:pPr>
              <w:pStyle w:val="982"/>
              <w:rPr>
                <w:rFonts w:ascii="宋体" w:hAnsi="宋体"/>
                <w:szCs w:val="21"/>
                <w:highlight w:val="none"/>
              </w:rPr>
            </w:pPr>
            <w:r>
              <w:rPr>
                <w:rFonts w:hint="eastAsia" w:ascii="宋体" w:hAnsi="宋体"/>
                <w:szCs w:val="21"/>
                <w:highlight w:val="none"/>
              </w:rPr>
              <w:t xml:space="preserve">提供的工程质量管理、工期保证体系及保证措施完整性、可操作性、有效性较差的，得3分；</w:t>
            </w:r>
            <w:r>
              <w:rPr>
                <w:rFonts w:ascii="宋体" w:hAnsi="宋体"/>
                <w:szCs w:val="21"/>
                <w:highlight w:val="none"/>
              </w:rPr>
            </w:r>
            <w:r/>
          </w:p>
          <w:p>
            <w:pPr>
              <w:pStyle w:val="982"/>
              <w:rPr>
                <w:rFonts w:ascii="宋体" w:hAnsi="宋体"/>
                <w:szCs w:val="21"/>
                <w:highlight w:val="none"/>
              </w:rPr>
            </w:pPr>
            <w:r>
              <w:rPr>
                <w:rFonts w:hint="eastAsia" w:ascii="宋体" w:hAnsi="宋体"/>
                <w:szCs w:val="21"/>
                <w:highlight w:val="none"/>
              </w:rPr>
              <w:t xml:space="preserve">未提供不得分。</w:t>
            </w:r>
            <w:r>
              <w:rPr>
                <w:rFonts w:ascii="宋体" w:hAnsi="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2.4</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安全生产管理体系及保证措施</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7分</w:t>
            </w:r>
            <w:r>
              <w:rPr>
                <w:rFonts w:ascii="宋体" w:hAnsi="宋体"/>
                <w:szCs w:val="21"/>
                <w:highlight w:val="none"/>
              </w:rPr>
            </w:r>
            <w:r/>
          </w:p>
        </w:tc>
        <w:tc>
          <w:tcPr>
            <w:tcW w:w="3978" w:type="dxa"/>
            <w:vAlign w:val="center"/>
            <w:textDirection w:val="lrTb"/>
            <w:noWrap w:val="false"/>
          </w:tcPr>
          <w:p>
            <w:pPr>
              <w:pStyle w:val="982"/>
              <w:widowControl/>
              <w:rPr>
                <w:rFonts w:ascii="宋体" w:hAnsi="宋体" w:cs="宋体"/>
                <w:szCs w:val="21"/>
                <w:highlight w:val="none"/>
              </w:rPr>
            </w:pPr>
            <w:r>
              <w:rPr>
                <w:rFonts w:hint="eastAsia" w:ascii="宋体" w:hAnsi="宋体" w:cs="宋体"/>
                <w:szCs w:val="21"/>
                <w:highlight w:val="none"/>
              </w:rPr>
              <w:t xml:space="preserve">根据安全管理体系与措施合理、全面、有效性及项目风险预测与防范、交通保通措施、事故应急预案是否完善、合理进行评分。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提供的安全生产管理体系及保证措施完整性、可操作性、合理性</w:t>
            </w:r>
            <w:r>
              <w:rPr>
                <w:rFonts w:hint="eastAsia" w:ascii="宋体" w:hAnsi="宋体"/>
                <w:highlight w:val="none"/>
              </w:rPr>
              <w:t xml:space="preserve">较高的，得7分；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提供的安全生产管理体系及保证措施完整性、可操作性、合理性</w:t>
            </w:r>
            <w:r>
              <w:rPr>
                <w:rFonts w:hint="eastAsia" w:ascii="宋体" w:hAnsi="宋体"/>
                <w:highlight w:val="none"/>
              </w:rPr>
              <w:t xml:space="preserve">一般的，得5分；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提供的安全生产管理体系及保证措施完整性、可操作性、合理性</w:t>
            </w:r>
            <w:r>
              <w:rPr>
                <w:rFonts w:hint="eastAsia" w:ascii="宋体" w:hAnsi="宋体"/>
                <w:highlight w:val="none"/>
              </w:rPr>
              <w:t xml:space="preserve">较差的，得3分；</w:t>
            </w:r>
            <w:r>
              <w:rPr>
                <w:rFonts w:ascii="宋体" w:hAnsi="宋体" w:cs="宋体"/>
                <w:szCs w:val="21"/>
                <w:highlight w:val="none"/>
              </w:rPr>
            </w:r>
            <w:r/>
          </w:p>
          <w:p>
            <w:pPr>
              <w:pStyle w:val="982"/>
              <w:rPr>
                <w:rFonts w:ascii="宋体" w:hAnsi="宋体"/>
                <w:b/>
                <w:szCs w:val="21"/>
                <w:highlight w:val="none"/>
              </w:rPr>
            </w:pPr>
            <w:r>
              <w:rPr>
                <w:rFonts w:hint="eastAsia"/>
                <w:highlight w:val="none"/>
              </w:rPr>
              <w:t xml:space="preserve">未提供不得分。</w:t>
            </w:r>
            <w:r>
              <w:rPr>
                <w:rFonts w:ascii="宋体" w:hAnsi="宋体"/>
                <w:b/>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2.5</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文明施工、环保（含扬尘污染防治专项方案）及其他保证措施</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7分</w:t>
            </w:r>
            <w:r>
              <w:rPr>
                <w:rFonts w:ascii="宋体" w:hAnsi="宋体"/>
                <w:szCs w:val="21"/>
                <w:highlight w:val="none"/>
              </w:rPr>
            </w:r>
            <w:r/>
          </w:p>
        </w:tc>
        <w:tc>
          <w:tcPr>
            <w:tcW w:w="3978" w:type="dxa"/>
            <w:vAlign w:val="center"/>
            <w:textDirection w:val="lrTb"/>
            <w:noWrap w:val="false"/>
          </w:tcPr>
          <w:p>
            <w:pPr>
              <w:pStyle w:val="982"/>
              <w:widowControl/>
              <w:rPr>
                <w:rFonts w:ascii="宋体" w:hAnsi="宋体" w:cs="宋体"/>
                <w:szCs w:val="21"/>
                <w:highlight w:val="none"/>
              </w:rPr>
            </w:pPr>
            <w:r>
              <w:rPr>
                <w:rFonts w:hint="eastAsia" w:ascii="宋体" w:hAnsi="宋体" w:cs="宋体"/>
                <w:szCs w:val="21"/>
                <w:highlight w:val="none"/>
              </w:rPr>
              <w:t xml:space="preserve">根据环境保护（含扬尘污染防治专项实施方案）管理体系、文明施工、以及其他保证措施的合理、全面、有效性是否完善、合理进行评分。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提供的文明施工、环保及其他保证措施完善性、全面性、合理性</w:t>
            </w:r>
            <w:r>
              <w:rPr>
                <w:rFonts w:hint="eastAsia" w:ascii="宋体" w:hAnsi="宋体"/>
                <w:highlight w:val="none"/>
              </w:rPr>
              <w:t xml:space="preserve">较高的，得7分；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提供的文明施工、环保及其他保证措施完善性、全面性、合理性</w:t>
            </w:r>
            <w:r>
              <w:rPr>
                <w:rFonts w:hint="eastAsia" w:ascii="宋体" w:hAnsi="宋体"/>
                <w:highlight w:val="none"/>
              </w:rPr>
              <w:t xml:space="preserve">一般的，得5分；</w:t>
            </w:r>
            <w:r>
              <w:rPr>
                <w:rFonts w:ascii="宋体" w:hAnsi="宋体" w:cs="宋体"/>
                <w:szCs w:val="21"/>
                <w:highlight w:val="none"/>
              </w:rPr>
            </w:r>
            <w:r/>
          </w:p>
          <w:p>
            <w:pPr>
              <w:pStyle w:val="982"/>
              <w:widowControl/>
              <w:rPr>
                <w:rFonts w:ascii="宋体" w:hAnsi="宋体" w:cs="宋体"/>
                <w:szCs w:val="21"/>
                <w:highlight w:val="none"/>
              </w:rPr>
            </w:pPr>
            <w:r>
              <w:rPr>
                <w:rFonts w:hint="eastAsia" w:ascii="宋体" w:hAnsi="宋体" w:cs="宋体"/>
                <w:szCs w:val="21"/>
                <w:highlight w:val="none"/>
              </w:rPr>
              <w:t xml:space="preserve">提供的文明施工、环保及其他保证措施完善性、全面性、合理性</w:t>
            </w:r>
            <w:r>
              <w:rPr>
                <w:rFonts w:hint="eastAsia" w:ascii="宋体" w:hAnsi="宋体"/>
                <w:highlight w:val="none"/>
              </w:rPr>
              <w:t xml:space="preserve">较差的，得3分；</w:t>
            </w:r>
            <w:r>
              <w:rPr>
                <w:rFonts w:ascii="宋体" w:hAnsi="宋体" w:cs="宋体"/>
                <w:szCs w:val="21"/>
                <w:highlight w:val="none"/>
              </w:rPr>
            </w:r>
            <w:r/>
          </w:p>
          <w:p>
            <w:pPr>
              <w:pStyle w:val="982"/>
              <w:widowControl/>
              <w:rPr>
                <w:rFonts w:ascii="宋体" w:hAnsi="宋体" w:cs="宋体"/>
                <w:szCs w:val="21"/>
                <w:highlight w:val="none"/>
              </w:rPr>
            </w:pPr>
            <w:r>
              <w:rPr>
                <w:rFonts w:hint="eastAsia"/>
                <w:highlight w:val="none"/>
              </w:rPr>
              <w:t xml:space="preserve">未提供不得分。</w:t>
            </w:r>
            <w:r>
              <w:rPr>
                <w:rFonts w:ascii="宋体" w:hAnsi="宋体" w:cs="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rHeight w:val="454"/>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客观分</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35分</w:t>
            </w:r>
            <w:r>
              <w:rPr>
                <w:rFonts w:ascii="宋体" w:hAnsi="宋体"/>
                <w:szCs w:val="21"/>
                <w:highlight w:val="none"/>
              </w:rPr>
            </w:r>
            <w:r/>
          </w:p>
        </w:tc>
        <w:tc>
          <w:tcPr>
            <w:tcW w:w="3978" w:type="dxa"/>
            <w:vAlign w:val="center"/>
            <w:textDirection w:val="lrTb"/>
            <w:noWrap w:val="false"/>
          </w:tcPr>
          <w:p>
            <w:pPr>
              <w:pStyle w:val="982"/>
              <w:rPr>
                <w:rFonts w:ascii="宋体" w:hAnsi="宋体"/>
                <w:szCs w:val="21"/>
                <w:highlight w:val="none"/>
              </w:rPr>
            </w:pPr>
            <w:r>
              <w:rPr>
                <w:rFonts w:ascii="宋体" w:hAnsi="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ascii="宋体" w:hAnsi="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3.1</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供应商拟投入的项目经理</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lang w:val="en-US" w:eastAsia="zh-CN"/>
              </w:rPr>
              <w:t xml:space="preserve">12</w:t>
            </w:r>
            <w:r>
              <w:rPr>
                <w:rFonts w:hint="eastAsia" w:ascii="宋体" w:hAnsi="宋体"/>
                <w:szCs w:val="21"/>
                <w:highlight w:val="none"/>
              </w:rPr>
              <w:t xml:space="preserve">分</w:t>
            </w:r>
            <w:r>
              <w:rPr>
                <w:rFonts w:ascii="宋体" w:hAnsi="宋体"/>
                <w:szCs w:val="21"/>
                <w:highlight w:val="none"/>
              </w:rPr>
            </w:r>
            <w:r/>
          </w:p>
        </w:tc>
        <w:tc>
          <w:tcPr>
            <w:tcW w:w="3978" w:type="dxa"/>
            <w:vAlign w:val="center"/>
            <w:textDirection w:val="lrTb"/>
            <w:noWrap w:val="false"/>
          </w:tcPr>
          <w:p>
            <w:pPr>
              <w:pStyle w:val="982"/>
              <w:rPr>
                <w:rFonts w:hint="eastAsia" w:ascii="宋体" w:hAnsi="宋体" w:cs="宋体"/>
                <w:szCs w:val="21"/>
                <w:highlight w:val="none"/>
              </w:rPr>
            </w:pPr>
            <w:r>
              <w:rPr>
                <w:rFonts w:hint="eastAsia" w:ascii="宋体" w:hAnsi="宋体" w:cs="宋体"/>
                <w:szCs w:val="21"/>
                <w:highlight w:val="none"/>
              </w:rPr>
              <w:t xml:space="preserve">①供应商拟投入的项目经理20</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年1月1日至今（以完工时间为准）每担任过一项公路养护项目</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含日常养护</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的项目经理（含副职）或项目总工得3分，最多得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rPr>
            </w:r>
            <w:r/>
          </w:p>
          <w:p>
            <w:pPr>
              <w:pStyle w:val="982"/>
              <w:rPr>
                <w:rFonts w:hint="eastAsia" w:ascii="宋体" w:hAnsi="宋体" w:cs="宋体"/>
                <w:szCs w:val="21"/>
                <w:highlight w:val="none"/>
              </w:rPr>
            </w:pPr>
            <w:r>
              <w:rPr>
                <w:rFonts w:hint="eastAsia" w:ascii="宋体" w:hAnsi="宋体" w:cs="宋体"/>
                <w:szCs w:val="21"/>
                <w:highlight w:val="none"/>
              </w:rPr>
              <w:t xml:space="preserve">②供应商拟投入的项目经理20</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年1月1日至今（以完工时间为准）每担任过一项公路安全设施养护项目</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含日常养护</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的项目经理（含副职）或项目总工得3分，最多得6分。</w:t>
            </w:r>
            <w:r>
              <w:rPr>
                <w:rFonts w:hint="eastAsia" w:ascii="宋体" w:hAnsi="宋体" w:cs="宋体"/>
                <w:szCs w:val="21"/>
                <w:highlight w:val="none"/>
              </w:rPr>
            </w:r>
            <w:r/>
          </w:p>
          <w:p>
            <w:pPr>
              <w:pStyle w:val="982"/>
              <w:rPr>
                <w:rFonts w:hint="eastAsia"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rPr>
            </w:r>
            <w:r/>
          </w:p>
          <w:p>
            <w:pPr>
              <w:pStyle w:val="982"/>
              <w:rPr>
                <w:rFonts w:hint="eastAsia" w:ascii="宋体" w:hAnsi="宋体" w:cs="宋体"/>
                <w:b/>
                <w:szCs w:val="21"/>
                <w:highlight w:val="none"/>
              </w:rPr>
            </w:pPr>
            <w:r>
              <w:rPr>
                <w:rFonts w:hint="eastAsia" w:ascii="宋体" w:hAnsi="宋体"/>
                <w:b/>
                <w:szCs w:val="21"/>
                <w:highlight w:val="none"/>
              </w:rPr>
              <w:t xml:space="preserve">1、项目经理</w:t>
            </w:r>
            <w:r>
              <w:rPr>
                <w:rFonts w:hint="eastAsia" w:ascii="宋体" w:hAnsi="宋体" w:cs="宋体"/>
                <w:b/>
                <w:szCs w:val="21"/>
                <w:highlight w:val="none"/>
              </w:rPr>
              <w:t xml:space="preserve">业绩评审以“拟投入项目经理业绩一览表”为准，未在表中填报的业绩不予评审。</w:t>
            </w:r>
            <w:r>
              <w:rPr>
                <w:rFonts w:hint="eastAsia" w:ascii="宋体" w:hAnsi="宋体" w:cs="宋体"/>
                <w:b/>
                <w:szCs w:val="21"/>
                <w:highlight w:val="none"/>
              </w:rPr>
            </w:r>
            <w:r/>
          </w:p>
          <w:p>
            <w:pPr>
              <w:pStyle w:val="982"/>
              <w:rPr>
                <w:rFonts w:ascii="宋体" w:hAnsi="宋体" w:cs="宋体"/>
                <w:b/>
                <w:szCs w:val="21"/>
                <w:highlight w:val="none"/>
              </w:rPr>
            </w:pPr>
            <w:r>
              <w:rPr>
                <w:rFonts w:hint="eastAsia" w:ascii="宋体" w:hAnsi="宋体"/>
                <w:b/>
                <w:szCs w:val="21"/>
                <w:highlight w:val="none"/>
              </w:rPr>
              <w:t xml:space="preserve">2、同一合同业绩在</w:t>
            </w:r>
            <w:r>
              <w:rPr>
                <w:rFonts w:hint="eastAsia" w:ascii="宋体" w:hAnsi="宋体" w:cs="宋体"/>
                <w:b/>
                <w:szCs w:val="21"/>
                <w:highlight w:val="none"/>
              </w:rPr>
              <w:t xml:space="preserve">①②中仅计分一次。</w:t>
            </w:r>
            <w:r>
              <w:rPr>
                <w:rFonts w:ascii="宋体" w:hAnsi="宋体" w:cs="宋体"/>
                <w:b/>
                <w:szCs w:val="21"/>
                <w:highlight w:val="none"/>
              </w:rPr>
            </w:r>
            <w:r/>
          </w:p>
        </w:tc>
        <w:tc>
          <w:tcPr>
            <w:gridSpan w:val="2"/>
            <w:tcW w:w="2440" w:type="dxa"/>
            <w:vAlign w:val="center"/>
            <w:textDirection w:val="lrTb"/>
            <w:noWrap w:val="false"/>
          </w:tcPr>
          <w:p>
            <w:pPr>
              <w:pStyle w:val="982"/>
              <w:ind w:left="-38"/>
              <w:rPr>
                <w:rFonts w:ascii="宋体" w:hAnsi="宋体" w:cs="宋体"/>
                <w:szCs w:val="21"/>
                <w:highlight w:val="none"/>
              </w:rPr>
            </w:pPr>
            <w:r>
              <w:rPr>
                <w:rFonts w:hint="eastAsia" w:ascii="宋体" w:hAnsi="宋体" w:cs="宋体"/>
                <w:szCs w:val="21"/>
                <w:highlight w:val="none"/>
              </w:rPr>
              <w:t xml:space="preserve">1、应提供合同电子扫描件并加盖供应商公章。若提供资料不能完整反映要求的（如项目经理职务等），可提供中标通知书或</w:t>
            </w:r>
            <w:r>
              <w:rPr>
                <w:rFonts w:hint="eastAsia" w:ascii="宋体" w:hAnsi="宋体" w:cs="宋体"/>
                <w:szCs w:val="21"/>
                <w:highlight w:val="none"/>
                <w:lang w:val="en-US" w:eastAsia="zh-CN"/>
              </w:rPr>
              <w:t xml:space="preserve">由</w:t>
            </w:r>
            <w:r>
              <w:rPr>
                <w:rFonts w:hint="eastAsia" w:ascii="宋体" w:hAnsi="宋体" w:cs="宋体"/>
                <w:szCs w:val="21"/>
                <w:highlight w:val="none"/>
              </w:rPr>
              <w:t xml:space="preserve">业主单位</w:t>
            </w:r>
            <w:r>
              <w:rPr>
                <w:rFonts w:hint="eastAsia" w:ascii="宋体" w:hAnsi="宋体" w:cs="宋体"/>
                <w:szCs w:val="21"/>
                <w:highlight w:val="none"/>
                <w:lang w:val="en-US" w:eastAsia="zh-CN"/>
              </w:rPr>
              <w:t xml:space="preserve">出具的</w:t>
            </w:r>
            <w:r>
              <w:rPr>
                <w:rFonts w:hint="eastAsia" w:ascii="宋体" w:hAnsi="宋体" w:cs="宋体"/>
                <w:szCs w:val="21"/>
                <w:highlight w:val="none"/>
              </w:rPr>
              <w:t xml:space="preserve">加盖公章的</w:t>
            </w:r>
            <w:r>
              <w:rPr>
                <w:rFonts w:hint="eastAsia" w:ascii="宋体" w:hAnsi="宋体" w:cs="宋体"/>
                <w:szCs w:val="21"/>
                <w:highlight w:val="none"/>
              </w:rPr>
              <w:t xml:space="preserve">证明材料电子扫描件并加盖供应商公章。</w:t>
            </w:r>
            <w:r>
              <w:rPr>
                <w:rFonts w:ascii="宋体" w:hAnsi="宋体" w:cs="宋体"/>
                <w:szCs w:val="21"/>
                <w:highlight w:val="none"/>
              </w:rPr>
            </w:r>
            <w:r/>
          </w:p>
          <w:p>
            <w:pPr>
              <w:pStyle w:val="982"/>
              <w:ind w:left="-38"/>
              <w:rPr>
                <w:rFonts w:hint="eastAsia" w:ascii="宋体" w:hAnsi="宋体" w:cs="宋体"/>
                <w:szCs w:val="21"/>
                <w:highlight w:val="none"/>
              </w:rPr>
            </w:pPr>
            <w:r>
              <w:rPr>
                <w:rFonts w:hint="eastAsia" w:ascii="宋体" w:hAnsi="宋体" w:cs="宋体"/>
                <w:szCs w:val="21"/>
                <w:highlight w:val="none"/>
              </w:rPr>
              <w:t xml:space="preserve">2、完工时间以交工或竣工验收证书时间或</w:t>
            </w:r>
            <w:r>
              <w:rPr>
                <w:rFonts w:hint="eastAsia" w:ascii="宋体" w:hAnsi="宋体" w:cs="宋体"/>
                <w:szCs w:val="21"/>
                <w:highlight w:val="none"/>
                <w:lang w:val="en-US" w:eastAsia="zh-CN"/>
              </w:rPr>
              <w:t xml:space="preserve">由</w:t>
            </w:r>
            <w:r>
              <w:rPr>
                <w:rFonts w:hint="eastAsia" w:ascii="宋体" w:hAnsi="宋体" w:cs="宋体"/>
                <w:szCs w:val="21"/>
                <w:highlight w:val="none"/>
              </w:rPr>
              <w:t xml:space="preserve">业主单位</w:t>
            </w:r>
            <w:r>
              <w:rPr>
                <w:rFonts w:hint="eastAsia" w:ascii="宋体" w:hAnsi="宋体" w:cs="宋体"/>
                <w:szCs w:val="21"/>
                <w:highlight w:val="none"/>
                <w:lang w:val="en-US" w:eastAsia="zh-CN"/>
              </w:rPr>
              <w:t xml:space="preserve">出具的</w:t>
            </w:r>
            <w:r>
              <w:rPr>
                <w:rFonts w:hint="eastAsia" w:ascii="宋体" w:hAnsi="宋体" w:cs="宋体"/>
                <w:szCs w:val="21"/>
                <w:highlight w:val="none"/>
              </w:rPr>
              <w:t xml:space="preserve">加盖公章</w:t>
            </w:r>
            <w:r>
              <w:rPr>
                <w:rFonts w:hint="eastAsia" w:ascii="宋体" w:hAnsi="宋体" w:cs="宋体"/>
                <w:szCs w:val="21"/>
                <w:highlight w:val="none"/>
              </w:rPr>
              <w:t xml:space="preserve">的证明材料为准，提供相应电子扫描件并加盖供应商公章。 </w:t>
            </w:r>
            <w:r>
              <w:rPr>
                <w:rFonts w:hint="eastAsia" w:ascii="宋体" w:hAnsi="宋体" w:cs="宋体"/>
                <w:szCs w:val="21"/>
                <w:highlight w:val="none"/>
              </w:rPr>
            </w:r>
            <w:r/>
          </w:p>
          <w:p>
            <w:pPr>
              <w:pStyle w:val="982"/>
              <w:ind w:left="-38"/>
              <w:rPr>
                <w:rFonts w:ascii="宋体" w:hAnsi="宋体" w:cs="宋体"/>
                <w:szCs w:val="21"/>
                <w:highlight w:val="none"/>
              </w:rPr>
            </w:pPr>
            <w:r>
              <w:rPr>
                <w:rFonts w:hint="eastAsia" w:ascii="宋体" w:hAnsi="宋体" w:cs="宋体"/>
                <w:szCs w:val="21"/>
                <w:highlight w:val="none"/>
              </w:rPr>
              <w:t xml:space="preserve">上述材料提供不全或未提供的不得分。</w:t>
            </w:r>
            <w:r>
              <w:rPr>
                <w:rFonts w:ascii="宋体" w:hAnsi="宋体" w:cs="宋体"/>
                <w:szCs w:val="21"/>
                <w:highlight w:val="none"/>
              </w:rPr>
            </w:r>
            <w:r/>
          </w:p>
        </w:tc>
      </w:tr>
      <w:tr>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3.2</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eastAsia="宋体"/>
                <w:szCs w:val="21"/>
                <w:highlight w:val="none"/>
                <w:lang w:val="en-US" w:eastAsia="zh-CN"/>
              </w:rPr>
            </w:pPr>
            <w:r>
              <w:rPr>
                <w:rFonts w:hint="eastAsia" w:ascii="宋体" w:hAnsi="宋体"/>
                <w:szCs w:val="21"/>
                <w:highlight w:val="none"/>
              </w:rPr>
              <w:t xml:space="preserve">供应商</w:t>
            </w:r>
            <w:r>
              <w:rPr>
                <w:rFonts w:hint="eastAsia" w:ascii="宋体" w:hAnsi="宋体" w:cs="宋体"/>
                <w:szCs w:val="21"/>
                <w:highlight w:val="none"/>
              </w:rPr>
              <w:t xml:space="preserve">拟投入的</w:t>
            </w:r>
            <w:r>
              <w:rPr>
                <w:rFonts w:hint="eastAsia" w:ascii="宋体" w:hAnsi="宋体" w:cs="宋体"/>
                <w:szCs w:val="21"/>
                <w:highlight w:val="none"/>
                <w:lang w:val="en-US" w:eastAsia="zh-CN"/>
              </w:rPr>
              <w:t xml:space="preserve">项目总工</w:t>
            </w:r>
            <w:r>
              <w:rPr>
                <w:rFonts w:ascii="宋体" w:hAnsi="宋体" w:eastAsia="宋体"/>
                <w:szCs w:val="21"/>
                <w:highlight w:val="none"/>
                <w:lang w:val="en-US" w:eastAsia="zh-CN"/>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ascii="宋体" w:hAnsi="宋体"/>
                <w:szCs w:val="21"/>
                <w:highlight w:val="none"/>
              </w:rPr>
            </w:r>
            <w:r/>
          </w:p>
        </w:tc>
        <w:tc>
          <w:tcPr>
            <w:tcW w:w="3978" w:type="dxa"/>
            <w:vAlign w:val="center"/>
            <w:textDirection w:val="lrTb"/>
            <w:noWrap w:val="false"/>
          </w:tcPr>
          <w:p>
            <w:pPr>
              <w:pStyle w:val="982"/>
              <w:widowControl/>
              <w:rPr>
                <w:rFonts w:ascii="宋体" w:hAnsi="宋体" w:cs="宋体"/>
                <w:szCs w:val="21"/>
                <w:highlight w:val="none"/>
              </w:rPr>
            </w:pPr>
            <w:r>
              <w:rPr>
                <w:rFonts w:hint="eastAsia" w:ascii="宋体" w:hAnsi="宋体" w:cs="宋体"/>
                <w:szCs w:val="21"/>
                <w:highlight w:val="none"/>
              </w:rPr>
              <w:t xml:space="preserve">拟投入本项目的项目总工具备工程师及以上职称的得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ascii="宋体" w:hAnsi="宋体" w:cs="宋体"/>
                <w:szCs w:val="21"/>
                <w:highlight w:val="none"/>
              </w:rPr>
            </w:r>
            <w:r/>
          </w:p>
        </w:tc>
        <w:tc>
          <w:tcPr>
            <w:gridSpan w:val="2"/>
            <w:tcW w:w="2440" w:type="dxa"/>
            <w:vAlign w:val="center"/>
            <w:textDirection w:val="lrTb"/>
            <w:noWrap w:val="false"/>
          </w:tcPr>
          <w:p>
            <w:pPr>
              <w:pStyle w:val="982"/>
              <w:ind w:left="-38"/>
              <w:rPr>
                <w:rFonts w:ascii="宋体" w:hAnsi="宋体"/>
                <w:szCs w:val="21"/>
                <w:highlight w:val="none"/>
              </w:rPr>
            </w:pPr>
            <w:r>
              <w:rPr>
                <w:rFonts w:hint="eastAsia" w:ascii="宋体" w:hAnsi="宋体" w:cs="宋体"/>
                <w:szCs w:val="21"/>
                <w:highlight w:val="none"/>
              </w:rPr>
              <w:t xml:space="preserve">应提供人员证书电子扫描件并加盖公章，否则不得分</w:t>
            </w:r>
            <w:r>
              <w:rPr>
                <w:rFonts w:ascii="宋体" w:hAnsi="宋体"/>
                <w:szCs w:val="21"/>
                <w:highlight w:val="none"/>
              </w:rPr>
            </w:r>
            <w:r/>
          </w:p>
        </w:tc>
      </w:tr>
      <w:tr>
        <w:trPr>
          <w:trHeight w:val="548"/>
        </w:trPr>
        <w:tc>
          <w:tcPr>
            <w:tcW w:w="835"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3.3</w:t>
            </w:r>
            <w:r>
              <w:rPr>
                <w:rFonts w:ascii="宋体" w:hAnsi="宋体"/>
                <w:szCs w:val="21"/>
                <w:highlight w:val="none"/>
              </w:rPr>
            </w:r>
            <w:r/>
          </w:p>
        </w:tc>
        <w:tc>
          <w:tcPr>
            <w:tcW w:w="1462" w:type="dxa"/>
            <w:vAlign w:val="center"/>
            <w:textDirection w:val="lrTb"/>
            <w:noWrap w:val="false"/>
          </w:tcPr>
          <w:p>
            <w:pPr>
              <w:pStyle w:val="982"/>
              <w:ind w:firstLine="28"/>
              <w:jc w:val="center"/>
              <w:rPr>
                <w:rFonts w:ascii="宋体" w:hAnsi="宋体" w:cs="宋体"/>
                <w:szCs w:val="21"/>
                <w:highlight w:val="none"/>
              </w:rPr>
            </w:pPr>
            <w:r>
              <w:rPr>
                <w:rFonts w:hint="eastAsia" w:ascii="宋体" w:hAnsi="宋体" w:cs="宋体"/>
                <w:szCs w:val="21"/>
                <w:highlight w:val="none"/>
              </w:rPr>
              <w:t xml:space="preserve">供应商企业业绩</w:t>
            </w:r>
            <w:r>
              <w:rPr>
                <w:rFonts w:ascii="宋体" w:hAnsi="宋体" w:cs="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hint="eastAsia" w:ascii="宋体" w:hAnsi="宋体"/>
                <w:szCs w:val="21"/>
                <w:highlight w:val="none"/>
              </w:rPr>
              <w:t xml:space="preserve">20分</w:t>
            </w:r>
            <w:r>
              <w:rPr>
                <w:rFonts w:ascii="宋体" w:hAnsi="宋体"/>
                <w:szCs w:val="21"/>
                <w:highlight w:val="none"/>
              </w:rPr>
            </w:r>
            <w:r/>
          </w:p>
        </w:tc>
        <w:tc>
          <w:tcPr>
            <w:gridSpan w:val="2"/>
            <w:tcW w:w="3986" w:type="dxa"/>
            <w:vAlign w:val="center"/>
            <w:textDirection w:val="lrTb"/>
            <w:noWrap w:val="false"/>
          </w:tcPr>
          <w:p>
            <w:pPr>
              <w:pStyle w:val="982"/>
              <w:rPr>
                <w:rFonts w:hint="eastAsia" w:ascii="宋体" w:hAnsi="宋体" w:cs="宋体"/>
                <w:szCs w:val="21"/>
                <w:highlight w:val="none"/>
              </w:rPr>
            </w:pPr>
            <w:r>
              <w:rPr>
                <w:rFonts w:hint="eastAsia" w:ascii="宋体" w:hAnsi="宋体" w:cs="宋体"/>
                <w:szCs w:val="21"/>
                <w:highlight w:val="none"/>
              </w:rPr>
              <w:t xml:space="preserve">①供应商2</w:t>
            </w:r>
            <w:r>
              <w:rPr>
                <w:rFonts w:hint="eastAsia" w:ascii="宋体" w:hAnsi="宋体" w:cs="宋体"/>
                <w:szCs w:val="21"/>
                <w:highlight w:val="none"/>
                <w:lang w:val="en-US" w:eastAsia="zh-CN"/>
              </w:rPr>
              <w:t xml:space="preserve">020</w:t>
            </w:r>
            <w:r>
              <w:rPr>
                <w:rFonts w:hint="eastAsia" w:ascii="宋体" w:hAnsi="宋体" w:cs="宋体"/>
                <w:szCs w:val="21"/>
                <w:highlight w:val="none"/>
              </w:rPr>
              <w:t xml:space="preserve">年1月1日至今（以完工时间为准）每完成过一项公路养护项目</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含日常养护</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得4分，最多得12分。</w:t>
            </w:r>
            <w:r>
              <w:rPr>
                <w:rFonts w:hint="eastAsia" w:ascii="宋体" w:hAnsi="宋体" w:cs="宋体"/>
                <w:szCs w:val="21"/>
                <w:highlight w:val="none"/>
              </w:rPr>
            </w:r>
            <w:r/>
          </w:p>
          <w:p>
            <w:pPr>
              <w:pStyle w:val="982"/>
              <w:rPr>
                <w:rFonts w:hint="eastAsia" w:ascii="宋体" w:hAnsi="宋体" w:cs="宋体"/>
                <w:szCs w:val="21"/>
                <w:highlight w:val="none"/>
              </w:rPr>
            </w:pPr>
            <w:r>
              <w:rPr>
                <w:rFonts w:hint="eastAsia" w:ascii="宋体" w:hAnsi="宋体" w:cs="宋体"/>
                <w:szCs w:val="21"/>
                <w:highlight w:val="none"/>
              </w:rPr>
              <w:t xml:space="preserve">②供应商20</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年1月1日至今（以完工时间为准）每完成过一项公路安全设施养护项目</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含日常养护</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得4分，最多得8分。</w:t>
            </w:r>
            <w:r>
              <w:rPr>
                <w:rFonts w:hint="eastAsia" w:ascii="宋体" w:hAnsi="宋体" w:cs="宋体"/>
                <w:szCs w:val="21"/>
                <w:highlight w:val="none"/>
              </w:rPr>
            </w:r>
            <w:r/>
          </w:p>
          <w:p>
            <w:pPr>
              <w:pStyle w:val="982"/>
              <w:rPr>
                <w:rFonts w:hint="eastAsia"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rPr>
            </w:r>
            <w:r/>
          </w:p>
          <w:p>
            <w:pPr>
              <w:pStyle w:val="982"/>
              <w:rPr>
                <w:rFonts w:hint="eastAsia" w:ascii="宋体" w:hAnsi="宋体" w:cs="宋体"/>
                <w:b/>
                <w:szCs w:val="21"/>
                <w:highlight w:val="none"/>
              </w:rPr>
            </w:pPr>
            <w:r>
              <w:rPr>
                <w:rFonts w:hint="eastAsia" w:ascii="宋体" w:hAnsi="宋体" w:cs="宋体"/>
                <w:b/>
                <w:szCs w:val="21"/>
                <w:highlight w:val="none"/>
              </w:rPr>
              <w:t xml:space="preserve">1、企业业绩评审以</w:t>
            </w:r>
            <w:r>
              <w:rPr>
                <w:rFonts w:hint="eastAsia" w:ascii="宋体" w:hAnsi="宋体" w:cs="宋体"/>
                <w:b/>
                <w:szCs w:val="21"/>
                <w:highlight w:val="none"/>
              </w:rPr>
              <w:t xml:space="preserve">“供应商业绩</w:t>
            </w:r>
            <w:r>
              <w:rPr>
                <w:rFonts w:hint="eastAsia" w:ascii="宋体" w:hAnsi="宋体" w:cs="宋体"/>
                <w:b/>
                <w:szCs w:val="21"/>
                <w:highlight w:val="none"/>
                <w:lang w:val="en-US" w:eastAsia="zh-CN"/>
              </w:rPr>
              <w:t xml:space="preserve">案例</w:t>
            </w:r>
            <w:r>
              <w:rPr>
                <w:rFonts w:hint="eastAsia" w:ascii="宋体" w:hAnsi="宋体" w:cs="宋体"/>
                <w:b/>
                <w:szCs w:val="21"/>
                <w:highlight w:val="none"/>
              </w:rPr>
              <w:t xml:space="preserve">一览表</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为准</w:t>
            </w:r>
            <w:r>
              <w:rPr>
                <w:rFonts w:hint="eastAsia" w:ascii="宋体" w:hAnsi="宋体" w:cs="宋体"/>
                <w:b/>
                <w:szCs w:val="21"/>
                <w:highlight w:val="none"/>
              </w:rPr>
              <w:t xml:space="preserve">，未在表中填报的业绩不予评审。</w:t>
            </w:r>
            <w:r>
              <w:rPr>
                <w:rFonts w:hint="eastAsia" w:ascii="宋体" w:hAnsi="宋体" w:cs="宋体"/>
                <w:b/>
                <w:szCs w:val="21"/>
                <w:highlight w:val="none"/>
              </w:rPr>
            </w:r>
            <w:r/>
          </w:p>
          <w:p>
            <w:pPr>
              <w:pStyle w:val="982"/>
              <w:rPr>
                <w:rFonts w:ascii="宋体" w:hAnsi="宋体"/>
                <w:szCs w:val="21"/>
                <w:highlight w:val="none"/>
              </w:rPr>
            </w:pPr>
            <w:r>
              <w:rPr>
                <w:rFonts w:hint="eastAsia" w:ascii="宋体" w:hAnsi="宋体"/>
                <w:b/>
                <w:szCs w:val="21"/>
                <w:highlight w:val="none"/>
              </w:rPr>
              <w:t xml:space="preserve">2、同一合同业绩在</w:t>
            </w:r>
            <w:r>
              <w:rPr>
                <w:rFonts w:hint="eastAsia" w:ascii="宋体" w:hAnsi="宋体" w:cs="宋体"/>
                <w:b/>
                <w:szCs w:val="21"/>
                <w:highlight w:val="none"/>
              </w:rPr>
              <w:t xml:space="preserve">①②中仅计分一次。</w:t>
            </w:r>
            <w:r>
              <w:rPr>
                <w:rFonts w:ascii="宋体" w:hAnsi="宋体"/>
                <w:szCs w:val="21"/>
                <w:highlight w:val="none"/>
              </w:rPr>
            </w:r>
            <w:r/>
          </w:p>
        </w:tc>
        <w:tc>
          <w:tcPr>
            <w:tcW w:w="2432" w:type="dxa"/>
            <w:vAlign w:val="center"/>
            <w:textDirection w:val="lrTb"/>
            <w:noWrap w:val="false"/>
          </w:tcPr>
          <w:p>
            <w:pPr>
              <w:pStyle w:val="982"/>
              <w:ind w:left="-38"/>
              <w:rPr>
                <w:rFonts w:ascii="宋体" w:hAnsi="宋体" w:cs="宋体"/>
                <w:szCs w:val="21"/>
                <w:highlight w:val="none"/>
              </w:rPr>
            </w:pPr>
            <w:r>
              <w:rPr>
                <w:rFonts w:hint="eastAsia" w:ascii="宋体" w:hAnsi="宋体" w:cs="宋体"/>
                <w:szCs w:val="21"/>
                <w:highlight w:val="none"/>
              </w:rPr>
              <w:t xml:space="preserve">1、应提供合同电子扫描件并加盖供应商公章。若提供资料不能完整反映要求的，可提供中标通知书或</w:t>
            </w:r>
            <w:r>
              <w:rPr>
                <w:rFonts w:hint="eastAsia" w:ascii="宋体" w:hAnsi="宋体" w:cs="宋体"/>
                <w:szCs w:val="21"/>
                <w:highlight w:val="none"/>
                <w:lang w:val="en-US" w:eastAsia="zh-CN"/>
              </w:rPr>
              <w:t xml:space="preserve">由</w:t>
            </w:r>
            <w:r>
              <w:rPr>
                <w:rFonts w:hint="eastAsia" w:ascii="宋体" w:hAnsi="宋体" w:cs="宋体"/>
                <w:szCs w:val="21"/>
                <w:highlight w:val="none"/>
              </w:rPr>
              <w:t xml:space="preserve">业主单位</w:t>
            </w:r>
            <w:r>
              <w:rPr>
                <w:rFonts w:hint="eastAsia" w:ascii="宋体" w:hAnsi="宋体" w:cs="宋体"/>
                <w:szCs w:val="21"/>
                <w:highlight w:val="none"/>
                <w:lang w:val="en-US" w:eastAsia="zh-CN"/>
              </w:rPr>
              <w:t xml:space="preserve">出具的</w:t>
            </w:r>
            <w:r>
              <w:rPr>
                <w:rFonts w:hint="eastAsia" w:ascii="宋体" w:hAnsi="宋体" w:cs="宋体"/>
                <w:szCs w:val="21"/>
                <w:highlight w:val="none"/>
              </w:rPr>
              <w:t xml:space="preserve">加盖公章的</w:t>
            </w:r>
            <w:r>
              <w:rPr>
                <w:rFonts w:hint="eastAsia" w:ascii="宋体" w:hAnsi="宋体" w:cs="宋体"/>
                <w:szCs w:val="21"/>
                <w:highlight w:val="none"/>
              </w:rPr>
              <w:t xml:space="preserve">证明材料电子扫描件并加盖供应商公章。</w:t>
            </w:r>
            <w:r>
              <w:rPr>
                <w:rFonts w:ascii="宋体" w:hAnsi="宋体" w:cs="宋体"/>
                <w:szCs w:val="21"/>
                <w:highlight w:val="none"/>
              </w:rPr>
            </w:r>
            <w:r/>
          </w:p>
          <w:p>
            <w:pPr>
              <w:pStyle w:val="982"/>
              <w:ind w:left="-38"/>
              <w:rPr>
                <w:rFonts w:hint="eastAsia" w:ascii="宋体" w:hAnsi="宋体" w:cs="宋体"/>
                <w:szCs w:val="21"/>
                <w:highlight w:val="none"/>
              </w:rPr>
            </w:pPr>
            <w:r>
              <w:rPr>
                <w:rFonts w:hint="eastAsia" w:ascii="宋体" w:hAnsi="宋体" w:cs="宋体"/>
                <w:szCs w:val="21"/>
                <w:highlight w:val="none"/>
              </w:rPr>
              <w:t xml:space="preserve">2、完工时间以交工或竣工验收证书时间或</w:t>
            </w:r>
            <w:r>
              <w:rPr>
                <w:rFonts w:hint="eastAsia" w:ascii="宋体" w:hAnsi="宋体" w:cs="宋体"/>
                <w:szCs w:val="21"/>
                <w:highlight w:val="none"/>
                <w:lang w:val="en-US" w:eastAsia="zh-CN"/>
              </w:rPr>
              <w:t xml:space="preserve">由</w:t>
            </w:r>
            <w:r>
              <w:rPr>
                <w:rFonts w:hint="eastAsia" w:ascii="宋体" w:hAnsi="宋体" w:cs="宋体"/>
                <w:szCs w:val="21"/>
                <w:highlight w:val="none"/>
              </w:rPr>
              <w:t xml:space="preserve">业主单位</w:t>
            </w:r>
            <w:r>
              <w:rPr>
                <w:rFonts w:hint="eastAsia" w:ascii="宋体" w:hAnsi="宋体" w:cs="宋体"/>
                <w:szCs w:val="21"/>
                <w:highlight w:val="none"/>
                <w:lang w:val="en-US" w:eastAsia="zh-CN"/>
              </w:rPr>
              <w:t xml:space="preserve">出具的</w:t>
            </w:r>
            <w:r>
              <w:rPr>
                <w:rFonts w:hint="eastAsia" w:ascii="宋体" w:hAnsi="宋体" w:cs="宋体"/>
                <w:szCs w:val="21"/>
                <w:highlight w:val="none"/>
              </w:rPr>
              <w:t xml:space="preserve">加盖公章的</w:t>
            </w:r>
            <w:r>
              <w:rPr>
                <w:rFonts w:hint="eastAsia" w:ascii="宋体" w:hAnsi="宋体" w:cs="宋体"/>
                <w:szCs w:val="21"/>
                <w:highlight w:val="none"/>
              </w:rPr>
              <w:t xml:space="preserve">证明材料为准，提供相应电子扫描件并加盖供应商公章。 </w:t>
            </w:r>
            <w:r>
              <w:rPr>
                <w:rFonts w:hint="eastAsia" w:ascii="宋体" w:hAnsi="宋体" w:cs="宋体"/>
                <w:szCs w:val="21"/>
                <w:highlight w:val="none"/>
              </w:rPr>
            </w:r>
            <w:r/>
          </w:p>
          <w:p>
            <w:pPr>
              <w:pStyle w:val="982"/>
              <w:rPr>
                <w:rFonts w:ascii="宋体" w:hAnsi="宋体"/>
                <w:szCs w:val="21"/>
                <w:highlight w:val="none"/>
              </w:rPr>
            </w:pPr>
            <w:r>
              <w:rPr>
                <w:rFonts w:hint="eastAsia" w:ascii="宋体" w:hAnsi="宋体" w:cs="宋体"/>
                <w:szCs w:val="21"/>
                <w:highlight w:val="none"/>
              </w:rPr>
              <w:t xml:space="preserve">上述材料提供不全或未提供的不得分。</w:t>
            </w:r>
            <w:r>
              <w:rPr>
                <w:rFonts w:ascii="宋体" w:hAnsi="宋体"/>
                <w:szCs w:val="21"/>
                <w:highlight w:val="none"/>
              </w:rPr>
            </w:r>
            <w:r/>
          </w:p>
        </w:tc>
      </w:tr>
      <w:tr>
        <w:trPr/>
        <w:tc>
          <w:tcPr>
            <w:gridSpan w:val="2"/>
            <w:tcW w:w="2297" w:type="dxa"/>
            <w:vAlign w:val="center"/>
            <w:textDirection w:val="lrTb"/>
            <w:noWrap w:val="false"/>
          </w:tcPr>
          <w:p>
            <w:pPr>
              <w:pStyle w:val="982"/>
              <w:ind w:firstLine="28"/>
              <w:jc w:val="center"/>
              <w:rPr>
                <w:rFonts w:ascii="宋体" w:hAnsi="宋体"/>
                <w:szCs w:val="21"/>
                <w:highlight w:val="none"/>
              </w:rPr>
            </w:pPr>
            <w:r>
              <w:rPr>
                <w:rFonts w:ascii="宋体" w:hAnsi="宋体"/>
                <w:szCs w:val="21"/>
                <w:highlight w:val="none"/>
              </w:rPr>
              <w:t xml:space="preserve">合计</w:t>
            </w:r>
            <w:r>
              <w:rPr>
                <w:rFonts w:ascii="宋体" w:hAnsi="宋体"/>
                <w:szCs w:val="21"/>
                <w:highlight w:val="none"/>
              </w:rPr>
            </w:r>
            <w:r/>
          </w:p>
        </w:tc>
        <w:tc>
          <w:tcPr>
            <w:tcW w:w="913" w:type="dxa"/>
            <w:vAlign w:val="center"/>
            <w:textDirection w:val="lrTb"/>
            <w:noWrap w:val="false"/>
          </w:tcPr>
          <w:p>
            <w:pPr>
              <w:pStyle w:val="982"/>
              <w:ind w:firstLine="28"/>
              <w:jc w:val="center"/>
              <w:rPr>
                <w:rFonts w:ascii="宋体" w:hAnsi="宋体"/>
                <w:szCs w:val="21"/>
                <w:highlight w:val="none"/>
              </w:rPr>
            </w:pPr>
            <w:r>
              <w:rPr>
                <w:rFonts w:ascii="宋体" w:hAnsi="宋体"/>
                <w:szCs w:val="21"/>
                <w:highlight w:val="none"/>
              </w:rPr>
              <w:t xml:space="preserve">100</w:t>
            </w:r>
            <w:r>
              <w:rPr>
                <w:rFonts w:ascii="宋体" w:hAnsi="宋体"/>
                <w:szCs w:val="21"/>
                <w:highlight w:val="none"/>
              </w:rPr>
            </w:r>
            <w:r/>
          </w:p>
        </w:tc>
        <w:tc>
          <w:tcPr>
            <w:gridSpan w:val="3"/>
            <w:tcW w:w="6418" w:type="dxa"/>
            <w:vAlign w:val="center"/>
            <w:textDirection w:val="lrTb"/>
            <w:noWrap w:val="false"/>
          </w:tcPr>
          <w:p>
            <w:pPr>
              <w:pStyle w:val="982"/>
              <w:rPr>
                <w:rFonts w:ascii="宋体" w:hAnsi="宋体"/>
                <w:szCs w:val="21"/>
                <w:highlight w:val="none"/>
              </w:rPr>
            </w:pPr>
            <w:r>
              <w:rPr>
                <w:rFonts w:ascii="宋体" w:hAnsi="宋体"/>
                <w:szCs w:val="21"/>
                <w:highlight w:val="none"/>
              </w:rPr>
            </w:r>
            <w:r/>
          </w:p>
        </w:tc>
      </w:tr>
    </w:tbl>
    <w:p>
      <w:pPr>
        <w:pStyle w:val="982"/>
        <w:spacing w:before="156" w:line="360" w:lineRule="auto"/>
        <w:tabs>
          <w:tab w:val="left" w:pos="360" w:leader="none"/>
          <w:tab w:val="left" w:pos="1080" w:leader="none"/>
        </w:tabs>
        <w:rPr>
          <w:b/>
          <w:sz w:val="36"/>
          <w:szCs w:val="36"/>
          <w:highlight w:val="none"/>
        </w:rPr>
      </w:pPr>
      <w:r>
        <w:rPr>
          <w:b/>
          <w:sz w:val="24"/>
          <w:highlight w:val="none"/>
        </w:rPr>
        <w:t xml:space="preserve">注</w:t>
      </w:r>
      <w:r>
        <w:rPr>
          <w:rFonts w:hint="eastAsia"/>
          <w:b/>
          <w:sz w:val="24"/>
          <w:highlight w:val="none"/>
        </w:rPr>
        <w:t xml:space="preserve">：若项目经理业绩与企业业绩均提供了同一业绩，可在两处评审项同时计分。</w:t>
      </w:r>
      <w:r>
        <w:rPr>
          <w:b/>
          <w:sz w:val="36"/>
          <w:szCs w:val="36"/>
          <w:highlight w:val="none"/>
        </w:rPr>
      </w:r>
      <w:r/>
    </w:p>
    <w:p>
      <w:pPr>
        <w:pStyle w:val="982"/>
        <w:jc w:val="center"/>
        <w:spacing w:line="360" w:lineRule="auto"/>
        <w:rPr>
          <w:rFonts w:hint="eastAsia"/>
          <w:b/>
          <w:sz w:val="24"/>
          <w:highlight w:val="none"/>
        </w:rPr>
        <w:outlineLvl w:val="0"/>
      </w:pPr>
      <w:r>
        <w:rPr>
          <w:b/>
          <w:sz w:val="36"/>
          <w:szCs w:val="36"/>
          <w:highlight w:val="none"/>
        </w:rPr>
        <w:br w:type="page" w:clear="all"/>
      </w:r>
      <w:bookmarkStart w:id="652" w:name="_Toc104818928"/>
      <w:r>
        <w:rPr>
          <w:rFonts w:hint="eastAsia"/>
          <w:b/>
          <w:sz w:val="24"/>
          <w:highlight w:val="none"/>
        </w:rPr>
      </w:r>
      <w:r/>
    </w:p>
    <w:p>
      <w:pPr>
        <w:pStyle w:val="982"/>
        <w:jc w:val="center"/>
        <w:spacing w:line="360" w:lineRule="auto"/>
        <w:rPr>
          <w:b/>
          <w:sz w:val="36"/>
          <w:szCs w:val="36"/>
          <w:highlight w:val="none"/>
        </w:rPr>
        <w:outlineLvl w:val="0"/>
      </w:pPr>
      <w:r>
        <w:rPr>
          <w:b/>
          <w:sz w:val="36"/>
          <w:szCs w:val="36"/>
          <w:highlight w:val="none"/>
        </w:rPr>
        <w:t xml:space="preserve">第四章   采购需求</w:t>
      </w:r>
      <w:bookmarkEnd w:id="652"/>
      <w:r>
        <w:rPr>
          <w:b/>
          <w:sz w:val="36"/>
          <w:szCs w:val="36"/>
          <w:highlight w:val="none"/>
        </w:rPr>
      </w:r>
      <w:r/>
    </w:p>
    <w:p>
      <w:pPr>
        <w:pStyle w:val="982"/>
        <w:contextualSpacing/>
        <w:spacing w:line="360" w:lineRule="auto"/>
        <w:rPr>
          <w:sz w:val="24"/>
          <w:highlight w:val="none"/>
        </w:rPr>
      </w:pPr>
      <w:r>
        <w:rPr>
          <w:sz w:val="24"/>
          <w:highlight w:val="none"/>
        </w:rPr>
      </w:r>
      <w:r/>
    </w:p>
    <w:p>
      <w:pPr>
        <w:pStyle w:val="982"/>
        <w:spacing w:line="360" w:lineRule="auto"/>
        <w:rPr>
          <w:rFonts w:ascii="宋体" w:hAnsi="宋体" w:cs="宋体"/>
          <w:b/>
          <w:szCs w:val="21"/>
          <w:highlight w:val="none"/>
        </w:rPr>
      </w:pPr>
      <w:r>
        <w:rPr>
          <w:rFonts w:hint="eastAsia" w:ascii="宋体" w:hAnsi="宋体" w:cs="宋体"/>
          <w:b/>
          <w:szCs w:val="21"/>
          <w:highlight w:val="none"/>
        </w:rPr>
        <w:t xml:space="preserve">一、采购标的</w:t>
      </w:r>
      <w:r>
        <w:rPr>
          <w:rFonts w:ascii="宋体" w:hAnsi="宋体" w:cs="宋体"/>
          <w:b/>
          <w:szCs w:val="21"/>
          <w:highlight w:val="none"/>
        </w:rPr>
      </w:r>
      <w:r/>
    </w:p>
    <w:p>
      <w:pPr>
        <w:pStyle w:val="982"/>
        <w:ind w:firstLine="420"/>
        <w:jc w:val="left"/>
        <w:spacing w:line="440" w:lineRule="exact"/>
        <w:rPr>
          <w:rFonts w:hint="eastAsia" w:ascii="宋体" w:hAnsi="宋体" w:eastAsia="宋体"/>
          <w:szCs w:val="21"/>
          <w:highlight w:val="none"/>
          <w:lang w:eastAsia="zh-CN"/>
        </w:rPr>
      </w:pPr>
      <w:r>
        <w:rPr>
          <w:rFonts w:hint="eastAsia" w:ascii="宋体" w:hAnsi="宋体"/>
          <w:szCs w:val="21"/>
          <w:highlight w:val="none"/>
        </w:rPr>
        <w:t xml:space="preserve">1．项目名称：</w:t>
      </w:r>
      <w:r>
        <w:rPr>
          <w:rFonts w:hint="eastAsia" w:ascii="宋体" w:hAnsi="宋体"/>
          <w:szCs w:val="21"/>
          <w:highlight w:val="none"/>
          <w:lang w:eastAsia="zh-CN"/>
        </w:rPr>
        <w:t xml:space="preserve">2026-2027年度武进区农村公路安保设施养护及应急保障项目</w:t>
      </w:r>
      <w:r>
        <w:rPr>
          <w:rFonts w:hint="eastAsia" w:ascii="宋体" w:hAnsi="宋体" w:eastAsia="宋体"/>
          <w:szCs w:val="21"/>
          <w:highlight w:val="none"/>
          <w:lang w:eastAsia="zh-CN"/>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2．预算金额：</w:t>
      </w:r>
      <w:r>
        <w:rPr>
          <w:rFonts w:hint="eastAsia" w:ascii="宋体" w:hAnsi="宋体"/>
          <w:bCs/>
          <w:szCs w:val="21"/>
          <w:highlight w:val="none"/>
          <w:u w:val="single"/>
          <w:lang w:val="en-US" w:eastAsia="zh-CN"/>
        </w:rPr>
        <w:t xml:space="preserve">392</w:t>
      </w:r>
      <w:r>
        <w:rPr>
          <w:rFonts w:hint="eastAsia" w:ascii="宋体" w:hAnsi="宋体"/>
          <w:szCs w:val="21"/>
          <w:highlight w:val="none"/>
        </w:rPr>
        <w:t xml:space="preserve">万元</w:t>
      </w:r>
      <w:r>
        <w:rPr>
          <w:rFonts w:hint="eastAsia" w:ascii="宋体" w:hAnsi="宋体"/>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szCs w:val="21"/>
          <w:highlight w:val="none"/>
        </w:rPr>
        <w:t xml:space="preserve">3．最高限价</w:t>
      </w:r>
      <w:r>
        <w:rPr>
          <w:rFonts w:hint="eastAsia" w:ascii="宋体" w:hAnsi="宋体" w:eastAsia="宋体" w:cs="Times New Roman"/>
          <w:szCs w:val="21"/>
          <w:highlight w:val="none"/>
        </w:rPr>
        <w:t xml:space="preserve">：</w:t>
      </w:r>
      <w:r>
        <w:rPr>
          <w:rFonts w:hint="eastAsia" w:ascii="宋体" w:hAnsi="宋体"/>
          <w:bCs/>
          <w:szCs w:val="21"/>
          <w:highlight w:val="none"/>
          <w:u w:val="single"/>
          <w:shd w:val="clear" w:color="auto" w:fill="auto"/>
        </w:rPr>
        <w:t xml:space="preserve">01包：</w:t>
      </w:r>
      <w:r>
        <w:rPr>
          <w:rFonts w:hint="eastAsia" w:ascii="宋体" w:hAnsi="宋体"/>
          <w:bCs/>
          <w:szCs w:val="21"/>
          <w:highlight w:val="none"/>
          <w:u w:val="single"/>
          <w:shd w:val="clear" w:color="auto" w:fill="auto"/>
          <w:lang w:val="en-US" w:eastAsia="zh-CN"/>
        </w:rPr>
        <w:t xml:space="preserve">176</w:t>
      </w:r>
      <w:r>
        <w:rPr>
          <w:rFonts w:hint="eastAsia" w:ascii="宋体" w:hAnsi="宋体"/>
          <w:bCs/>
          <w:szCs w:val="21"/>
          <w:highlight w:val="none"/>
          <w:u w:val="single"/>
          <w:shd w:val="clear" w:color="auto" w:fill="auto"/>
        </w:rPr>
        <w:t xml:space="preserve">万元/2年；02包：</w:t>
      </w:r>
      <w:r>
        <w:rPr>
          <w:rFonts w:hint="eastAsia" w:ascii="宋体" w:hAnsi="宋体"/>
          <w:bCs/>
          <w:szCs w:val="21"/>
          <w:highlight w:val="none"/>
          <w:u w:val="single"/>
          <w:shd w:val="clear" w:color="auto" w:fill="auto"/>
          <w:lang w:val="en-US" w:eastAsia="zh-CN"/>
        </w:rPr>
        <w:t xml:space="preserve">216</w:t>
      </w:r>
      <w:r>
        <w:rPr>
          <w:rFonts w:hint="eastAsia" w:ascii="宋体" w:hAnsi="宋体"/>
          <w:bCs/>
          <w:szCs w:val="21"/>
          <w:highlight w:val="none"/>
          <w:u w:val="single"/>
          <w:shd w:val="clear" w:color="auto" w:fill="auto"/>
        </w:rPr>
        <w:t xml:space="preserve">万元/2年</w:t>
      </w:r>
      <w:r>
        <w:rPr>
          <w:rFonts w:hint="eastAsia" w:ascii="宋体" w:hAnsi="宋体"/>
          <w:bCs/>
          <w:szCs w:val="21"/>
          <w:highlight w:val="none"/>
          <w:u w:val="single"/>
        </w:rPr>
        <w:t xml:space="preserve">。</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4．采购项目概况（简介）：</w:t>
      </w:r>
      <w:r>
        <w:rPr>
          <w:rFonts w:hint="eastAsia" w:ascii="宋体" w:hAnsi="宋体"/>
          <w:bCs/>
          <w:szCs w:val="21"/>
          <w:highlight w:val="none"/>
          <w:u w:val="single"/>
        </w:rPr>
        <w:t xml:space="preserve">本项目共设二个包</w:t>
      </w:r>
      <w:r>
        <w:rPr>
          <w:rFonts w:hint="eastAsia" w:ascii="宋体" w:hAnsi="宋体"/>
          <w:szCs w:val="21"/>
          <w:highlight w:val="none"/>
        </w:rPr>
        <w:t xml:space="preserve">。</w:t>
      </w:r>
      <w:r>
        <w:rPr>
          <w:rFonts w:hint="eastAsia" w:ascii="宋体" w:hAnsi="宋体"/>
          <w:szCs w:val="21"/>
          <w:highlight w:val="none"/>
        </w:rPr>
      </w:r>
      <w:r/>
    </w:p>
    <w:p>
      <w:pPr>
        <w:pStyle w:val="982"/>
        <w:ind w:firstLine="420"/>
        <w:jc w:val="left"/>
        <w:spacing w:line="44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01包，主要工作内容为202</w:t>
      </w:r>
      <w:r>
        <w:rPr>
          <w:rFonts w:hint="eastAsia" w:ascii="宋体" w:hAnsi="宋体" w:eastAsia="宋体" w:cs="Times New Roman"/>
          <w:szCs w:val="21"/>
          <w:highlight w:val="none"/>
          <w:u w:val="single"/>
          <w:lang w:val="en-US" w:eastAsia="zh-CN"/>
        </w:rPr>
        <w:t xml:space="preserve">6</w:t>
      </w:r>
      <w:r>
        <w:rPr>
          <w:rFonts w:hint="eastAsia" w:ascii="宋体" w:hAnsi="宋体" w:eastAsia="宋体" w:cs="Times New Roman"/>
          <w:szCs w:val="21"/>
          <w:highlight w:val="none"/>
          <w:u w:val="single"/>
        </w:rPr>
        <w:t xml:space="preserve">至202</w:t>
      </w:r>
      <w:r>
        <w:rPr>
          <w:rFonts w:hint="eastAsia" w:ascii="宋体" w:hAnsi="宋体" w:eastAsia="宋体" w:cs="Times New Roman"/>
          <w:szCs w:val="21"/>
          <w:highlight w:val="none"/>
          <w:u w:val="single"/>
          <w:lang w:val="en-US" w:eastAsia="zh-CN"/>
        </w:rPr>
        <w:t xml:space="preserve">7</w:t>
      </w:r>
      <w:r>
        <w:rPr>
          <w:rFonts w:hint="eastAsia" w:ascii="宋体" w:hAnsi="宋体" w:eastAsia="宋体" w:cs="Times New Roman"/>
          <w:szCs w:val="21"/>
          <w:highlight w:val="none"/>
          <w:u w:val="single"/>
        </w:rPr>
        <w:t xml:space="preserve">年度区公路中心管养范围内农村公路01包片区路线范围内突发事件和恶劣天气的应急抢险及安保设施的日常保障养护，以及为实施上述施工所必须的临时工程及缺陷修复等。</w:t>
      </w:r>
      <w:r>
        <w:rPr>
          <w:rFonts w:hint="eastAsia" w:ascii="宋体" w:hAnsi="宋体" w:eastAsia="宋体" w:cs="Times New Roman"/>
          <w:szCs w:val="21"/>
          <w:highlight w:val="none"/>
          <w:u w:val="single"/>
        </w:rPr>
      </w:r>
      <w:r/>
    </w:p>
    <w:p>
      <w:pPr>
        <w:pStyle w:val="982"/>
        <w:ind w:firstLine="422"/>
        <w:jc w:val="left"/>
        <w:spacing w:line="440" w:lineRule="exact"/>
        <w:rPr>
          <w:rFonts w:hint="eastAsia" w:ascii="宋体" w:hAnsi="宋体" w:eastAsia="宋体" w:cs="Times New Roman"/>
          <w:b/>
          <w:bCs/>
          <w:szCs w:val="21"/>
          <w:highlight w:val="none"/>
          <w:u w:val="none"/>
        </w:rPr>
      </w:pPr>
      <w:r>
        <w:rPr>
          <w:rFonts w:hint="eastAsia" w:ascii="宋体" w:hAnsi="宋体" w:eastAsia="宋体" w:cs="Times New Roman"/>
          <w:b/>
          <w:bCs/>
          <w:szCs w:val="21"/>
          <w:highlight w:val="none"/>
          <w:u w:val="none"/>
        </w:rPr>
        <w:t xml:space="preserve">01包片区路</w:t>
      </w:r>
      <w:r>
        <w:rPr>
          <w:rFonts w:hint="eastAsia" w:ascii="宋体" w:hAnsi="宋体" w:eastAsia="宋体" w:cs="Times New Roman"/>
          <w:b/>
          <w:bCs/>
          <w:szCs w:val="21"/>
          <w:highlight w:val="none"/>
          <w:u w:val="none"/>
          <w:lang w:val="en-US" w:eastAsia="zh-CN"/>
        </w:rPr>
        <w:t xml:space="preserve">线</w:t>
      </w:r>
      <w:r>
        <w:rPr>
          <w:rFonts w:hint="eastAsia" w:ascii="宋体" w:hAnsi="宋体" w:eastAsia="宋体" w:cs="Times New Roman"/>
          <w:b/>
          <w:bCs/>
          <w:szCs w:val="21"/>
          <w:highlight w:val="none"/>
          <w:u w:val="none"/>
        </w:rPr>
        <w:t xml:space="preserve">明细表</w:t>
      </w:r>
      <w:r>
        <w:rPr>
          <w:rFonts w:hint="eastAsia" w:ascii="宋体" w:hAnsi="宋体" w:eastAsia="宋体" w:cs="Times New Roman"/>
          <w:b/>
          <w:bCs/>
          <w:szCs w:val="21"/>
          <w:highlight w:val="none"/>
          <w:u w:val="none"/>
        </w:rPr>
      </w:r>
      <w:r/>
    </w:p>
    <w:tbl>
      <w:tblPr>
        <w:tblW w:w="9896"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710"/>
        <w:gridCol w:w="1020"/>
        <w:gridCol w:w="1020"/>
        <w:gridCol w:w="1020"/>
        <w:gridCol w:w="1021"/>
        <w:gridCol w:w="1021"/>
        <w:gridCol w:w="1021"/>
        <w:gridCol w:w="1021"/>
        <w:gridCol w:w="1021"/>
        <w:gridCol w:w="1021"/>
      </w:tblGrid>
      <w:tr>
        <w:trPr>
          <w:trHeight w:val="600"/>
        </w:trPr>
        <w:tc>
          <w:tcPr>
            <w:shd w:val="clear" w:color="000000" w:fill="d9d9d9"/>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b/>
                <w:bCs/>
                <w:szCs w:val="21"/>
                <w:highlight w:val="none"/>
              </w:rPr>
            </w:pPr>
            <w:r>
              <w:rPr>
                <w:rFonts w:ascii="宋体" w:hAnsi="宋体" w:cs="宋体"/>
                <w:b/>
                <w:bCs/>
                <w:szCs w:val="21"/>
                <w:highlight w:val="none"/>
              </w:rPr>
              <w:t xml:space="preserve">路线编码</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b/>
                <w:bCs/>
                <w:szCs w:val="21"/>
                <w:highlight w:val="none"/>
              </w:rPr>
            </w:pPr>
            <w:r>
              <w:rPr>
                <w:rFonts w:ascii="宋体" w:hAnsi="宋体" w:cs="宋体"/>
                <w:b/>
                <w:bCs/>
                <w:szCs w:val="21"/>
                <w:highlight w:val="none"/>
              </w:rPr>
              <w:t xml:space="preserve">路线名称</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起点名称</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终点名称</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起点桩号</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终点桩号</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长度（KM）</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巡查长度</w:t>
            </w:r>
            <w:r>
              <w:rPr>
                <w:rFonts w:hint="eastAsia" w:ascii="宋体" w:hAnsi="宋体" w:cs="宋体"/>
                <w:b/>
                <w:bCs/>
                <w:szCs w:val="21"/>
                <w:highlight w:val="none"/>
              </w:rPr>
              <w:br w:type="textWrapping" w:clear="all"/>
            </w:r>
            <w:r>
              <w:rPr>
                <w:rFonts w:hint="eastAsia" w:ascii="宋体" w:hAnsi="宋体" w:cs="宋体"/>
                <w:b/>
                <w:bCs/>
                <w:szCs w:val="21"/>
                <w:highlight w:val="none"/>
              </w:rPr>
              <w:t xml:space="preserve">（KM）</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备注</w:t>
            </w:r>
            <w:r>
              <w:rPr>
                <w:rFonts w:ascii="宋体" w:hAnsi="宋体" w:cs="宋体"/>
                <w:b/>
                <w:bCs/>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X202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雪马线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雪漕线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0.912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0.912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0.912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X204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青洋路（路面）</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滆湖东路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雪漕线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17.025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36.118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19.093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38.186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青洋路（高架）</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滆湖东路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武进大道</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16.635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23.5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6.865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13.73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X206</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武宜路</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武南路</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潘寨线</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9.012</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18.717</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9.705</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19.41</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　</w:t>
            </w:r>
            <w:r>
              <w:rPr>
                <w:rFonts w:hint="eastAsia" w:ascii="宋体" w:hAnsi="宋体" w:eastAsia="宋体" w:cs="宋体"/>
                <w:sz w:val="21"/>
                <w:szCs w:val="21"/>
                <w:highlight w:val="none"/>
                <w:lang w:val="en-US" w:eastAsia="zh-CN" w:bidi="ar-SA"/>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X251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郑洛线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洛阳界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新科路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22.167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24.64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2.473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2.473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横洛路</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eastAsia="zh-CN"/>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X252</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洛戴线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新科路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荷花路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6.135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10.837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4.702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4.702</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1"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武澄路/戴洛路</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上马线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无锡界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11.133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13.298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2.165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2.165</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1"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X253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圣竺线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S342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雪漕线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3.334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3.334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6.668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X255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广电路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青洋路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大明路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2.191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3.744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1.553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3.106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X256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夏城路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武南路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武进大道</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7.482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11.468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3.986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7.972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rPr>
                <w:rFonts w:hint="eastAsia" w:ascii="宋体" w:hAnsi="宋体" w:eastAsia="宋体" w:cs="宋体"/>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X314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潘寨线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灵台村入点</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S447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lang w:val="en-US"/>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10.76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lang w:val="en-US"/>
              </w:rPr>
            </w:pPr>
            <w:r>
              <w:rPr>
                <w:rFonts w:ascii="宋体" w:hAnsi="宋体" w:cs="宋体"/>
                <w:szCs w:val="21"/>
                <w:highlight w:val="none"/>
                <w:lang w:val="en-US"/>
              </w:rPr>
              <w:t xml:space="preserve">10.76</w:t>
            </w:r>
            <w:r>
              <w:rPr>
                <w:rFonts w:ascii="宋体" w:hAnsi="宋体" w:cs="宋体"/>
                <w:szCs w:val="21"/>
                <w:highlight w:val="none"/>
                <w:lang w:val="en-US"/>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lang w:val="en-US"/>
              </w:rPr>
            </w:pPr>
            <w:r>
              <w:rPr>
                <w:rFonts w:ascii="宋体" w:hAnsi="宋体" w:cs="宋体"/>
                <w:szCs w:val="21"/>
                <w:highlight w:val="none"/>
                <w:lang w:val="en-US"/>
              </w:rPr>
              <w:t xml:space="preserve">10.76</w:t>
            </w:r>
            <w:r>
              <w:rPr>
                <w:rFonts w:ascii="宋体" w:hAnsi="宋体" w:cs="宋体"/>
                <w:szCs w:val="21"/>
                <w:highlight w:val="none"/>
                <w:lang w:val="en-US"/>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982"/>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rPr>
                <w:rFonts w:ascii="宋体" w:hAnsi="宋体" w:eastAsia="宋体" w:cs="宋体"/>
                <w:szCs w:val="21"/>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X316</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南闸线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宜兴界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谢桥北</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1.208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1.208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1.208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S447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3.69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9.47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5.78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5.78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non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r>
            <w:r/>
          </w:p>
        </w:tc>
        <w:tc>
          <w:tcPr>
            <w:tcBorders>
              <w:top w:val="non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X356</w:t>
            </w:r>
            <w:r>
              <w:rPr>
                <w:rFonts w:ascii="宋体" w:hAnsi="宋体" w:cs="宋体"/>
                <w:szCs w:val="21"/>
                <w:highlight w:val="none"/>
              </w:rPr>
            </w:r>
            <w:r/>
          </w:p>
        </w:tc>
        <w:tc>
          <w:tcPr>
            <w:tcBorders>
              <w:top w:val="non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武南路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青洋路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郑洛线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11.654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20.008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8.354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16.708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X357</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阳湖路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洛戴线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郑洛线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16.236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18.58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2.344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4.688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新科路</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X360</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南环线</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湖滨路</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S232</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1.738</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14.393</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12.655</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25.31</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　</w:t>
            </w:r>
            <w:r>
              <w:rPr>
                <w:rFonts w:hint="eastAsia" w:ascii="宋体" w:hAnsi="宋体" w:eastAsia="宋体" w:cs="宋体"/>
                <w:sz w:val="21"/>
                <w:szCs w:val="21"/>
                <w:highlight w:val="none"/>
                <w:lang w:val="en-US" w:eastAsia="zh-CN" w:bidi="ar-SA"/>
              </w:rPr>
            </w:r>
            <w:r/>
          </w:p>
        </w:tc>
      </w:tr>
      <w:tr>
        <w:trPr>
          <w:trHeight w:val="52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X361</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雪漕线</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漕桥</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S232</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6.085</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6.085</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12.17</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single" w:color="000000" w:sz="4" w:space="0"/>
              <w:left w:val="single" w:color="000000" w:sz="4" w:space="0"/>
              <w:bottom w:val="none" w:color="000000" w:sz="4" w:space="0"/>
              <w:right w:val="single" w:color="000000" w:sz="4" w:space="0"/>
            </w:tcBorders>
            <w:tcW w:w="710"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Borders>
              <w:top w:val="singl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lang w:val="en-US"/>
              </w:rPr>
            </w:pPr>
            <w:r>
              <w:rPr>
                <w:rFonts w:ascii="宋体" w:hAnsi="宋体" w:cs="宋体"/>
                <w:szCs w:val="21"/>
                <w:highlight w:val="none"/>
                <w:lang w:val="en-US"/>
              </w:rPr>
              <w:t xml:space="preserve">G635</w:t>
            </w:r>
            <w:r>
              <w:rPr>
                <w:rFonts w:ascii="宋体" w:hAnsi="宋体" w:cs="宋体"/>
                <w:szCs w:val="21"/>
                <w:highlight w:val="none"/>
                <w:lang w:val="en-US"/>
              </w:rPr>
            </w:r>
            <w:r/>
          </w:p>
        </w:tc>
        <w:tc>
          <w:tcPr>
            <w:tcBorders>
              <w:top w:val="singl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color w:val="ff0000"/>
                <w:szCs w:val="21"/>
                <w:highlight w:val="none"/>
              </w:rPr>
            </w:pPr>
            <w:r>
              <w:rPr>
                <w:rFonts w:hint="eastAsia" w:ascii="宋体" w:hAnsi="宋体" w:cs="宋体"/>
                <w:szCs w:val="21"/>
                <w:highlight w:val="none"/>
              </w:rPr>
              <w:t xml:space="preserve">环太湖公路</w:t>
            </w:r>
            <w:r>
              <w:rPr>
                <w:rFonts w:ascii="宋体" w:hAnsi="宋体" w:cs="宋体"/>
                <w:color w:val="ff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城西回民村</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雪堰</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38.73</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45.525</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lang w:val="en-US"/>
              </w:rPr>
            </w:pPr>
            <w:r>
              <w:rPr>
                <w:rFonts w:hint="eastAsia" w:ascii="宋体" w:hAnsi="宋体" w:cs="宋体"/>
                <w:szCs w:val="21"/>
                <w:highlight w:val="none"/>
              </w:rPr>
              <w:t xml:space="preserve">6.7</w:t>
            </w:r>
            <w:r>
              <w:rPr>
                <w:rFonts w:ascii="宋体" w:hAnsi="宋体" w:cs="宋体"/>
                <w:szCs w:val="21"/>
                <w:highlight w:val="none"/>
                <w:lang w:val="en-US"/>
              </w:rPr>
              <w:t xml:space="preserve">79</w:t>
            </w:r>
            <w:r>
              <w:rPr>
                <w:rFonts w:ascii="宋体" w:hAnsi="宋体" w:cs="宋体"/>
                <w:szCs w:val="21"/>
                <w:highlight w:val="none"/>
                <w:lang w:val="en-US"/>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lang w:val="en-US"/>
              </w:rPr>
            </w:pPr>
            <w:r>
              <w:rPr>
                <w:rFonts w:hint="eastAsia" w:ascii="宋体" w:hAnsi="宋体" w:cs="宋体"/>
                <w:szCs w:val="21"/>
                <w:highlight w:val="none"/>
              </w:rPr>
              <w:t xml:space="preserve">13.</w:t>
            </w:r>
            <w:r>
              <w:rPr>
                <w:rFonts w:ascii="宋体" w:hAnsi="宋体" w:cs="宋体"/>
                <w:szCs w:val="21"/>
                <w:highlight w:val="none"/>
                <w:lang w:val="en-US"/>
              </w:rPr>
              <w:t xml:space="preserve">558</w:t>
            </w:r>
            <w:r>
              <w:rPr>
                <w:rFonts w:ascii="宋体" w:hAnsi="宋体" w:cs="宋体"/>
                <w:szCs w:val="21"/>
                <w:highlight w:val="none"/>
                <w:lang w:val="en-US"/>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982"/>
              <w:jc w:val="center"/>
              <w:widowControl/>
              <w:rPr>
                <w:rFonts w:ascii="宋体" w:hAnsi="宋体" w:cs="宋体"/>
                <w:szCs w:val="21"/>
                <w:highlight w:val="none"/>
              </w:rPr>
            </w:pPr>
            <w:r>
              <w:rPr>
                <w:rFonts w:hint="eastAsia" w:ascii="宋体" w:hAnsi="宋体" w:cs="宋体"/>
                <w:szCs w:val="21"/>
                <w:highlight w:val="none"/>
              </w:rPr>
              <w:t xml:space="preserve">原XZ01雪漕线</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rPr>
                <w:rFonts w:ascii="宋体" w:hAnsi="宋体" w:eastAsia="宋体" w:cs="宋体"/>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S447</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82"/>
              <w:jc w:val="center"/>
              <w:widowControl/>
              <w:rPr>
                <w:rFonts w:ascii="宋体" w:hAnsi="宋体" w:cs="宋体"/>
                <w:szCs w:val="21"/>
                <w:highlight w:val="none"/>
              </w:rPr>
            </w:pPr>
            <w:r>
              <w:rPr>
                <w:rFonts w:hint="eastAsia" w:ascii="宋体" w:hAnsi="宋体" w:cs="宋体"/>
                <w:szCs w:val="21"/>
                <w:highlight w:val="none"/>
              </w:rPr>
              <w:t xml:space="preserve">沪宜高速漕桥互通连接线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武南路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雪漕线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17.212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17.212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34.424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val="false"/>
          </w:tcPr>
          <w:p>
            <w:pPr>
              <w:pStyle w:val="982"/>
              <w:jc w:val="center"/>
              <w:widowControl/>
              <w:rPr>
                <w:rFonts w:ascii="宋体" w:hAnsi="宋体" w:cs="宋体"/>
                <w:szCs w:val="21"/>
                <w:highlight w:val="none"/>
              </w:rPr>
            </w:pPr>
            <w:r>
              <w:rPr>
                <w:rFonts w:hint="eastAsia" w:ascii="宋体" w:hAnsi="宋体" w:cs="宋体"/>
                <w:szCs w:val="21"/>
                <w:highlight w:val="none"/>
              </w:rPr>
              <w:t xml:space="preserve">原X205湖漕线/常武南路</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合计</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125.9</w:t>
            </w:r>
            <w:r>
              <w:rPr>
                <w:rFonts w:ascii="宋体" w:hAnsi="宋体" w:cs="宋体"/>
                <w:szCs w:val="21"/>
                <w:highlight w:val="none"/>
                <w:lang w:val="en-US" w:eastAsia="zh-CN"/>
              </w:rPr>
              <w:t xml:space="preserve">65</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223.9</w:t>
            </w:r>
            <w:r>
              <w:rPr>
                <w:rFonts w:ascii="宋体" w:hAnsi="宋体" w:cs="宋体"/>
                <w:szCs w:val="21"/>
                <w:highlight w:val="none"/>
                <w:lang w:val="en-US" w:eastAsia="zh-CN"/>
              </w:rPr>
              <w:t xml:space="preserve">30</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982"/>
              <w:jc w:val="center"/>
              <w:widowControl/>
              <w:rPr>
                <w:rFonts w:ascii="宋体" w:hAnsi="宋体" w:cs="宋体"/>
                <w:szCs w:val="21"/>
                <w:highlight w:val="none"/>
              </w:rPr>
            </w:pPr>
            <w:r>
              <w:rPr>
                <w:rFonts w:ascii="宋体" w:hAnsi="宋体" w:cs="宋体"/>
                <w:szCs w:val="21"/>
                <w:highlight w:val="none"/>
              </w:rPr>
            </w:r>
            <w:r/>
          </w:p>
        </w:tc>
      </w:tr>
    </w:tbl>
    <w:p>
      <w:pPr>
        <w:pStyle w:val="982"/>
        <w:ind w:firstLine="420"/>
        <w:jc w:val="left"/>
        <w:spacing w:line="44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02包，主要工作内容为202</w:t>
      </w:r>
      <w:r>
        <w:rPr>
          <w:rFonts w:hint="eastAsia" w:ascii="宋体" w:hAnsi="宋体" w:eastAsia="宋体" w:cs="Times New Roman"/>
          <w:szCs w:val="21"/>
          <w:highlight w:val="none"/>
          <w:u w:val="single"/>
          <w:lang w:val="en-US" w:eastAsia="zh-CN"/>
        </w:rPr>
        <w:t xml:space="preserve">6</w:t>
      </w:r>
      <w:r>
        <w:rPr>
          <w:rFonts w:hint="eastAsia" w:ascii="宋体" w:hAnsi="宋体" w:eastAsia="宋体" w:cs="Times New Roman"/>
          <w:szCs w:val="21"/>
          <w:highlight w:val="none"/>
          <w:u w:val="single"/>
        </w:rPr>
        <w:t xml:space="preserve">至202</w:t>
      </w:r>
      <w:r>
        <w:rPr>
          <w:rFonts w:hint="eastAsia" w:ascii="宋体" w:hAnsi="宋体" w:eastAsia="宋体" w:cs="Times New Roman"/>
          <w:szCs w:val="21"/>
          <w:highlight w:val="none"/>
          <w:u w:val="single"/>
          <w:lang w:val="en-US" w:eastAsia="zh-CN"/>
        </w:rPr>
        <w:t xml:space="preserve">7</w:t>
      </w:r>
      <w:r>
        <w:rPr>
          <w:rFonts w:hint="eastAsia" w:ascii="宋体" w:hAnsi="宋体" w:eastAsia="宋体" w:cs="Times New Roman"/>
          <w:szCs w:val="21"/>
          <w:highlight w:val="none"/>
          <w:u w:val="single"/>
        </w:rPr>
        <w:t xml:space="preserve">年度区公路中心管养范围内农村公路02包片区路线范围内突发事件和恶劣天气的应急抢险及安保设施的日常保障养护，以及为实施上述施工所必须的临时工程及缺陷修复等。</w:t>
      </w:r>
      <w:r>
        <w:rPr>
          <w:rFonts w:hint="eastAsia" w:ascii="宋体" w:hAnsi="宋体" w:eastAsia="宋体" w:cs="Times New Roman"/>
          <w:szCs w:val="21"/>
          <w:highlight w:val="none"/>
          <w:u w:val="single"/>
        </w:rPr>
      </w:r>
      <w:r/>
    </w:p>
    <w:p>
      <w:pPr>
        <w:pStyle w:val="982"/>
        <w:ind w:firstLine="422"/>
        <w:jc w:val="left"/>
        <w:spacing w:line="440" w:lineRule="exact"/>
        <w:rPr>
          <w:rFonts w:hint="eastAsia" w:ascii="宋体" w:hAnsi="宋体" w:eastAsia="宋体" w:cs="Times New Roman"/>
          <w:b/>
          <w:bCs/>
          <w:szCs w:val="21"/>
          <w:highlight w:val="none"/>
          <w:u w:val="none"/>
        </w:rPr>
      </w:pPr>
      <w:r>
        <w:rPr>
          <w:rFonts w:hint="eastAsia" w:ascii="宋体" w:hAnsi="宋体" w:eastAsia="宋体" w:cs="Times New Roman"/>
          <w:b/>
          <w:bCs/>
          <w:szCs w:val="21"/>
          <w:highlight w:val="none"/>
          <w:u w:val="none"/>
        </w:rPr>
        <w:t xml:space="preserve">0</w:t>
      </w:r>
      <w:r>
        <w:rPr>
          <w:rFonts w:hint="eastAsia" w:ascii="宋体" w:hAnsi="宋体" w:eastAsia="宋体" w:cs="Times New Roman"/>
          <w:b/>
          <w:bCs/>
          <w:szCs w:val="21"/>
          <w:highlight w:val="none"/>
          <w:u w:val="none"/>
          <w:lang w:val="en-US" w:eastAsia="zh-CN"/>
        </w:rPr>
        <w:t xml:space="preserve">2</w:t>
      </w:r>
      <w:r>
        <w:rPr>
          <w:rFonts w:hint="eastAsia" w:ascii="宋体" w:hAnsi="宋体" w:eastAsia="宋体" w:cs="Times New Roman"/>
          <w:b/>
          <w:bCs/>
          <w:szCs w:val="21"/>
          <w:highlight w:val="none"/>
          <w:u w:val="none"/>
        </w:rPr>
        <w:t xml:space="preserve">包片区路</w:t>
      </w:r>
      <w:r>
        <w:rPr>
          <w:rFonts w:hint="eastAsia" w:ascii="宋体" w:hAnsi="宋体" w:eastAsia="宋体" w:cs="Times New Roman"/>
          <w:b/>
          <w:bCs/>
          <w:szCs w:val="21"/>
          <w:highlight w:val="none"/>
          <w:u w:val="none"/>
          <w:lang w:val="en-US" w:eastAsia="zh-CN"/>
        </w:rPr>
        <w:t xml:space="preserve">线</w:t>
      </w:r>
      <w:r>
        <w:rPr>
          <w:rFonts w:hint="eastAsia" w:ascii="宋体" w:hAnsi="宋体" w:eastAsia="宋体" w:cs="Times New Roman"/>
          <w:b/>
          <w:bCs/>
          <w:szCs w:val="21"/>
          <w:highlight w:val="none"/>
          <w:u w:val="none"/>
        </w:rPr>
        <w:t xml:space="preserve">明细表</w:t>
      </w:r>
      <w:r>
        <w:rPr>
          <w:rFonts w:hint="eastAsia" w:ascii="宋体" w:hAnsi="宋体" w:eastAsia="宋体" w:cs="Times New Roman"/>
          <w:b/>
          <w:bCs/>
          <w:szCs w:val="21"/>
          <w:highlight w:val="none"/>
          <w:u w:val="none"/>
        </w:rPr>
      </w:r>
      <w:r/>
    </w:p>
    <w:tbl>
      <w:tblPr>
        <w:tblW w:w="9953"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767"/>
        <w:gridCol w:w="1020"/>
        <w:gridCol w:w="1020"/>
        <w:gridCol w:w="1020"/>
        <w:gridCol w:w="1021"/>
        <w:gridCol w:w="1021"/>
        <w:gridCol w:w="1021"/>
        <w:gridCol w:w="1021"/>
        <w:gridCol w:w="1021"/>
        <w:gridCol w:w="1021"/>
      </w:tblGrid>
      <w:tr>
        <w:trPr>
          <w:trHeight w:val="600"/>
        </w:trPr>
        <w:tc>
          <w:tcPr>
            <w:shd w:val="clear" w:color="000000" w:fill="d9d9d9"/>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b/>
                <w:bCs/>
                <w:szCs w:val="21"/>
                <w:highlight w:val="none"/>
              </w:rPr>
            </w:pPr>
            <w:r>
              <w:rPr>
                <w:rFonts w:ascii="宋体" w:hAnsi="宋体" w:cs="宋体"/>
                <w:b/>
                <w:bCs/>
                <w:szCs w:val="21"/>
                <w:highlight w:val="none"/>
              </w:rPr>
              <w:t xml:space="preserve">路线编码</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b/>
                <w:bCs/>
                <w:szCs w:val="21"/>
                <w:highlight w:val="none"/>
              </w:rPr>
            </w:pPr>
            <w:r>
              <w:rPr>
                <w:rFonts w:ascii="宋体" w:hAnsi="宋体" w:cs="宋体"/>
                <w:b/>
                <w:bCs/>
                <w:szCs w:val="21"/>
                <w:highlight w:val="none"/>
              </w:rPr>
              <w:t xml:space="preserve">路线名称</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起点名称</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终点名称</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起点桩号</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终点桩号</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长度（KM）</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巡查长度</w:t>
            </w:r>
            <w:r>
              <w:rPr>
                <w:rFonts w:hint="eastAsia" w:ascii="宋体" w:hAnsi="宋体" w:cs="宋体"/>
                <w:b/>
                <w:bCs/>
                <w:szCs w:val="21"/>
                <w:highlight w:val="none"/>
              </w:rPr>
              <w:br w:type="textWrapping" w:clear="all"/>
            </w:r>
            <w:r>
              <w:rPr>
                <w:rFonts w:hint="eastAsia" w:ascii="宋体" w:hAnsi="宋体" w:cs="宋体"/>
                <w:b/>
                <w:bCs/>
                <w:szCs w:val="21"/>
                <w:highlight w:val="none"/>
              </w:rPr>
              <w:t xml:space="preserve">（KM）</w:t>
            </w:r>
            <w:r>
              <w:rPr>
                <w:rFonts w:ascii="宋体" w:hAnsi="宋体" w:cs="宋体"/>
                <w:b/>
                <w:bCs/>
                <w:szCs w:val="21"/>
                <w:highlight w:val="none"/>
              </w:rPr>
            </w:r>
            <w:r/>
          </w:p>
        </w:tc>
        <w:tc>
          <w:tcPr>
            <w:shd w:val="clear" w:color="000000" w:fill="d9d9d9"/>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b/>
                <w:bCs/>
                <w:szCs w:val="21"/>
                <w:highlight w:val="none"/>
              </w:rPr>
            </w:pPr>
            <w:r>
              <w:rPr>
                <w:rFonts w:hint="eastAsia" w:ascii="宋体" w:hAnsi="宋体" w:cs="宋体"/>
                <w:b/>
                <w:bCs/>
                <w:szCs w:val="21"/>
                <w:highlight w:val="none"/>
              </w:rPr>
              <w:t xml:space="preserve">备注</w:t>
            </w:r>
            <w:r>
              <w:rPr>
                <w:rFonts w:ascii="宋体" w:hAnsi="宋体" w:cs="宋体"/>
                <w:b/>
                <w:bCs/>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vMerge w:val="restart"/>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X212</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嘉新线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S239线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建设街</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2.568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2.568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2.568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嘉尧线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宜兴界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4.913</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21.74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16.827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16.827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non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X259</w:t>
            </w:r>
            <w:r>
              <w:rPr>
                <w:rFonts w:ascii="宋体" w:hAnsi="宋体" w:cs="宋体"/>
                <w:szCs w:val="21"/>
                <w:highlight w:val="none"/>
              </w:rPr>
            </w:r>
            <w:r/>
          </w:p>
        </w:tc>
        <w:tc>
          <w:tcPr>
            <w:tcBorders>
              <w:top w:val="non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淹城路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武南路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南湖路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9.171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16.162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6.991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13.982</w:t>
            </w:r>
            <w:r>
              <w:rPr>
                <w:rFonts w:ascii="宋体" w:hAnsi="宋体" w:cs="宋体"/>
                <w:szCs w:val="21"/>
                <w:highlight w:val="none"/>
              </w:rPr>
            </w:r>
            <w:r/>
          </w:p>
        </w:tc>
        <w:tc>
          <w:tcPr>
            <w:tcBorders>
              <w:top w:val="none" w:color="000000" w:sz="4" w:space="0"/>
              <w:left w:val="none" w:color="000000" w:sz="4" w:space="0"/>
              <w:bottom w:val="non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single" w:color="000000" w:sz="4" w:space="0"/>
              <w:left w:val="single" w:color="000000" w:sz="4" w:space="0"/>
              <w:bottom w:val="non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r>
            <w:r/>
          </w:p>
        </w:tc>
        <w:tc>
          <w:tcPr>
            <w:tcBorders>
              <w:top w:val="singl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X260</w:t>
            </w:r>
            <w:r>
              <w:rPr>
                <w:rFonts w:ascii="宋体" w:hAnsi="宋体" w:cs="宋体"/>
                <w:szCs w:val="21"/>
                <w:highlight w:val="none"/>
              </w:rPr>
            </w:r>
            <w:r/>
          </w:p>
        </w:tc>
        <w:tc>
          <w:tcPr>
            <w:tcBorders>
              <w:top w:val="singl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环湖路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武宜运河大桥</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武宜河桥</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9.762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13.761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3.999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7.998</w:t>
            </w:r>
            <w:r>
              <w:rPr>
                <w:rFonts w:ascii="宋体" w:hAnsi="宋体" w:cs="宋体"/>
                <w:szCs w:val="21"/>
                <w:highlight w:val="none"/>
              </w:rPr>
            </w:r>
            <w:r/>
          </w:p>
        </w:tc>
        <w:tc>
          <w:tcPr>
            <w:tcBorders>
              <w:top w:val="single" w:color="000000" w:sz="4" w:space="0"/>
              <w:left w:val="none" w:color="000000" w:sz="4" w:space="0"/>
              <w:bottom w:val="non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X264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花海大道</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金武线</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湟村线</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0</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15.914</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15.914</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31.828</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2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X309</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金武线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三星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武宜运河桥</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12.365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12.365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24.73</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X310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延政路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金坛界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湖滨路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14.755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14.755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29.51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X311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嘉尧线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金坛界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环湖西路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10.407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10.407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10.407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vMerge w:val="restart"/>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X313</w:t>
            </w: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湟水线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金坛界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1.799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1.799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1.799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嘉新线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2.031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2.742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0.711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0.711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82"/>
              <w:jc w:val="left"/>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宏图桥</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北圩河桥</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3.518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10.327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6.809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6.809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non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X315</w:t>
            </w:r>
            <w:r>
              <w:rPr>
                <w:rFonts w:ascii="宋体" w:hAnsi="宋体" w:cs="宋体"/>
                <w:szCs w:val="21"/>
                <w:highlight w:val="none"/>
              </w:rPr>
            </w:r>
            <w:r/>
          </w:p>
        </w:tc>
        <w:tc>
          <w:tcPr>
            <w:tcBorders>
              <w:top w:val="none" w:color="000000" w:sz="4" w:space="0"/>
              <w:left w:val="none" w:color="000000" w:sz="4" w:space="0"/>
              <w:bottom w:val="non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东湟线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庄河港桥</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9.486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9.486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9.486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10</w:t>
            </w:r>
            <w:r>
              <w:rPr>
                <w:rFonts w:ascii="宋体" w:hAnsi="宋体" w:eastAsia="宋体" w:cs="宋体"/>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X356</w:t>
            </w:r>
            <w:r>
              <w:rPr>
                <w:rFonts w:hint="eastAsia" w:ascii="宋体" w:hAnsi="宋体" w:eastAsia="宋体" w:cs="宋体"/>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武南路</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环湖路</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ff0000"/>
                <w:sz w:val="21"/>
                <w:szCs w:val="21"/>
                <w:highlight w:val="none"/>
                <w:lang w:val="en-US" w:eastAsia="zh-CN" w:bidi="ar-SA"/>
              </w:rPr>
            </w:pPr>
            <w:r>
              <w:rPr>
                <w:rFonts w:hint="eastAsia" w:ascii="宋体" w:hAnsi="宋体" w:cs="宋体"/>
                <w:szCs w:val="21"/>
                <w:highlight w:val="none"/>
              </w:rPr>
              <w:t xml:space="preserve">S262</w:t>
            </w:r>
            <w:r>
              <w:rPr>
                <w:rFonts w:hint="eastAsia" w:ascii="宋体" w:hAnsi="宋体" w:eastAsia="宋体" w:cs="宋体"/>
                <w:color w:val="ff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0</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1.521</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1.521</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3.042</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　</w:t>
            </w:r>
            <w:r>
              <w:rPr>
                <w:rFonts w:hint="eastAsia" w:ascii="宋体" w:hAnsi="宋体" w:eastAsia="宋体" w:cs="宋体"/>
                <w:sz w:val="21"/>
                <w:szCs w:val="21"/>
                <w:highlight w:val="none"/>
                <w:lang w:val="en-US" w:eastAsia="zh-CN" w:bidi="ar-SA"/>
              </w:rPr>
            </w:r>
            <w:r/>
          </w:p>
        </w:tc>
      </w:tr>
      <w:tr>
        <w:trPr>
          <w:trHeight w:val="52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ascii="宋体" w:hAnsi="宋体" w:cs="宋体"/>
                <w:szCs w:val="21"/>
                <w:highlight w:val="none"/>
                <w:lang w:val="en-US"/>
              </w:rPr>
              <w:t xml:space="preserve">1</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X358</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环湖路连接线</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环湖路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湖滨路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0.735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0.735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0.735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X359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南湖路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淹城路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常武路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4.85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4.85</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9.7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X362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西湖路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环湖北路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武宜路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5.128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5.128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10.256</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XZ04</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洛南线</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湖滨路</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无锡界</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0</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19.184</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19.184</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38.368</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武进大道</w:t>
            </w:r>
            <w:r>
              <w:rPr>
                <w:rFonts w:hint="eastAsia" w:ascii="宋体" w:hAnsi="宋体" w:eastAsia="宋体" w:cs="宋体"/>
                <w:color w:val="000000"/>
                <w:sz w:val="21"/>
                <w:szCs w:val="21"/>
                <w:highlight w:val="none"/>
                <w:lang w:val="en-US" w:eastAsia="zh-CN" w:bidi="ar-SA"/>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XZ08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环湖西路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S239</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常合高速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6.471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6.471</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12.942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S262</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val="false"/>
          </w:tcPr>
          <w:p>
            <w:pPr>
              <w:pStyle w:val="982"/>
              <w:jc w:val="center"/>
              <w:widowControl/>
              <w:rPr>
                <w:rFonts w:ascii="宋体" w:hAnsi="宋体" w:cs="宋体"/>
                <w:szCs w:val="21"/>
                <w:highlight w:val="none"/>
              </w:rPr>
            </w:pPr>
            <w:r>
              <w:rPr>
                <w:rFonts w:hint="eastAsia" w:ascii="宋体" w:hAnsi="宋体" w:cs="宋体"/>
                <w:szCs w:val="21"/>
                <w:highlight w:val="none"/>
              </w:rPr>
              <w:t xml:space="preserve">常州-宜兴</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西湖路</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常锡界</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34.248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48.018</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13.77</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27.54</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原X208龙江路</w:t>
            </w:r>
            <w:r>
              <w:rPr>
                <w:rFonts w:ascii="宋体" w:hAnsi="宋体" w:cs="宋体"/>
                <w:szCs w:val="21"/>
                <w:highlight w:val="none"/>
              </w:rPr>
            </w:r>
            <w:r/>
          </w:p>
        </w:tc>
      </w:tr>
      <w:tr>
        <w:trPr>
          <w:trHeight w:val="52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hint="eastAsia" w:ascii="宋体" w:hAnsi="宋体" w:cs="宋体"/>
                <w:szCs w:val="21"/>
                <w:highlight w:val="none"/>
              </w:rPr>
              <w:t xml:space="preserve">合计</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154.29</w:t>
            </w:r>
            <w:r>
              <w:rPr>
                <w:rFonts w:ascii="宋体" w:hAnsi="宋体" w:eastAsia="宋体" w:cs="宋体"/>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259.238</w:t>
            </w:r>
            <w:r>
              <w:rPr>
                <w:rFonts w:ascii="宋体" w:hAnsi="宋体" w:eastAsia="宋体" w:cs="宋体"/>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tcPr>
          <w:p>
            <w:pPr>
              <w:pStyle w:val="982"/>
              <w:jc w:val="center"/>
              <w:widowControl/>
              <w:rPr>
                <w:rFonts w:ascii="宋体" w:hAnsi="宋体" w:cs="宋体"/>
                <w:szCs w:val="21"/>
                <w:highlight w:val="none"/>
              </w:rPr>
            </w:pPr>
            <w:r>
              <w:rPr>
                <w:rFonts w:ascii="宋体" w:hAnsi="宋体" w:cs="宋体"/>
                <w:szCs w:val="21"/>
                <w:highlight w:val="none"/>
              </w:rPr>
            </w:r>
            <w:r/>
          </w:p>
        </w:tc>
      </w:tr>
    </w:tbl>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供应商</w:t>
      </w:r>
      <w:r>
        <w:rPr>
          <w:rFonts w:hint="eastAsia" w:ascii="宋体" w:hAnsi="宋体" w:eastAsia="宋体" w:cs="Times New Roman"/>
          <w:szCs w:val="21"/>
          <w:highlight w:val="none"/>
        </w:rPr>
        <w:t xml:space="preserve">可对本次采购的单个包或全部包进行响应，在</w:t>
      </w:r>
      <w:r>
        <w:rPr>
          <w:rFonts w:hint="eastAsia" w:ascii="宋体" w:hAnsi="宋体" w:eastAsia="宋体" w:cs="Times New Roman"/>
          <w:szCs w:val="21"/>
          <w:highlight w:val="none"/>
          <w:lang w:val="en-US" w:eastAsia="zh-CN"/>
        </w:rPr>
        <w:t xml:space="preserve">响应</w:t>
      </w:r>
      <w:r>
        <w:rPr>
          <w:rFonts w:hint="eastAsia" w:ascii="宋体" w:hAnsi="宋体" w:eastAsia="宋体" w:cs="Times New Roman"/>
          <w:szCs w:val="21"/>
          <w:highlight w:val="none"/>
        </w:rPr>
        <w:t xml:space="preserve">文件中注明所投包并响应该包全部内容。同一</w:t>
      </w:r>
      <w:r>
        <w:rPr>
          <w:rFonts w:hint="eastAsia" w:ascii="宋体" w:hAnsi="宋体" w:eastAsia="宋体" w:cs="Times New Roman"/>
          <w:szCs w:val="21"/>
          <w:highlight w:val="none"/>
          <w:lang w:val="en-US" w:eastAsia="zh-CN"/>
        </w:rPr>
        <w:t xml:space="preserve">供应商</w:t>
      </w:r>
      <w:r>
        <w:rPr>
          <w:rFonts w:hint="eastAsia" w:ascii="宋体" w:hAnsi="宋体" w:eastAsia="宋体" w:cs="Times New Roman"/>
          <w:szCs w:val="21"/>
          <w:highlight w:val="none"/>
        </w:rPr>
        <w:t xml:space="preserve">仅限成交一个包。</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2个包同时评审，按02包→01包的顺序依次确定第一成交候选人，02包确定为第一成交候选人的</w:t>
      </w:r>
      <w:r>
        <w:rPr>
          <w:rFonts w:hint="eastAsia" w:ascii="宋体" w:hAnsi="宋体" w:eastAsia="宋体" w:cs="Times New Roman"/>
          <w:szCs w:val="21"/>
          <w:highlight w:val="none"/>
          <w:lang w:val="en-US" w:eastAsia="zh-CN"/>
        </w:rPr>
        <w:t xml:space="preserve">供应商</w:t>
      </w:r>
      <w:r>
        <w:rPr>
          <w:rFonts w:hint="eastAsia" w:ascii="宋体" w:hAnsi="宋体" w:eastAsia="宋体" w:cs="Times New Roman"/>
          <w:szCs w:val="21"/>
          <w:highlight w:val="none"/>
        </w:rPr>
        <w:t xml:space="preserve">不再被推荐为01包的第一成交候选人。</w:t>
      </w:r>
      <w:r>
        <w:rPr>
          <w:rFonts w:hint="eastAsia" w:ascii="宋体" w:hAnsi="宋体" w:eastAsia="宋体" w:cs="Times New Roman"/>
          <w:szCs w:val="21"/>
          <w:highlight w:val="none"/>
        </w:rPr>
      </w:r>
      <w:r/>
    </w:p>
    <w:p>
      <w:pPr>
        <w:pStyle w:val="982"/>
        <w:ind w:firstLine="420"/>
        <w:jc w:val="left"/>
        <w:spacing w:line="440" w:lineRule="exact"/>
        <w:tabs>
          <w:tab w:val="left" w:pos="8190" w:leader="none"/>
        </w:tabs>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.合同履行期限：2026年-2027年，合同一年一签。前一年合同期满，采购人视供应商履约情况续签下一年合同。</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6．是/否接受联合体投标：否</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接受联合体的还需填报对联合体组成的要求和数量：/</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7．是/否接受分支机构参与响应：否（一般仅当项目涉及银行、保险、石油石化、电力、电信、邮政、会计审计等行业有特殊情况的，可以接受分支机构参与）</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8．是/否属于政府购买服务：否</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9．是/否接受进口产品投标：否</w:t>
      </w:r>
      <w:r>
        <w:rPr>
          <w:rFonts w:hint="eastAsia" w:ascii="宋体" w:hAnsi="宋体"/>
          <w:szCs w:val="21"/>
          <w:highlight w:val="none"/>
        </w:rPr>
      </w:r>
      <w:r/>
    </w:p>
    <w:p>
      <w:pPr>
        <w:pStyle w:val="982"/>
        <w:ind w:firstLine="420"/>
        <w:jc w:val="left"/>
        <w:spacing w:line="440" w:lineRule="exact"/>
        <w:rPr>
          <w:rFonts w:hint="eastAsia" w:ascii="宋体" w:hAnsi="宋体" w:eastAsia="宋体"/>
          <w:szCs w:val="21"/>
          <w:highlight w:val="none"/>
          <w:lang w:eastAsia="zh-CN"/>
        </w:rPr>
      </w:pPr>
      <w:r>
        <w:rPr>
          <w:rFonts w:hint="eastAsia" w:ascii="宋体" w:hAnsi="宋体"/>
          <w:szCs w:val="21"/>
          <w:highlight w:val="none"/>
        </w:rPr>
        <w:t xml:space="preserve">10．是/否专门面向中小企业预留采购份额：</w:t>
      </w:r>
      <w:r>
        <w:rPr>
          <w:rFonts w:hint="eastAsia" w:ascii="宋体" w:hAnsi="宋体"/>
          <w:szCs w:val="21"/>
          <w:highlight w:val="none"/>
          <w:lang w:val="en-US" w:eastAsia="zh-CN"/>
        </w:rPr>
        <w:t xml:space="preserve">是</w:t>
      </w:r>
      <w:r>
        <w:rPr>
          <w:rFonts w:hint="eastAsia" w:ascii="宋体" w:hAnsi="宋体" w:eastAsia="宋体"/>
          <w:szCs w:val="21"/>
          <w:highlight w:val="none"/>
          <w:lang w:eastAsia="zh-CN"/>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11．本项目的特定资格要求：详见竞争性磋商公告（一般指国家具有强制资质、资格、认证或许可要求的，没有的填“无”）</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12．项目类别：工程类（货物类/服务类/工程类）</w:t>
      </w:r>
      <w:r>
        <w:rPr>
          <w:rFonts w:hint="eastAsia" w:ascii="宋体" w:hAnsi="宋体"/>
          <w:szCs w:val="21"/>
          <w:highlight w:val="none"/>
        </w:rPr>
      </w:r>
      <w:r/>
    </w:p>
    <w:p>
      <w:pPr>
        <w:pStyle w:val="982"/>
        <w:jc w:val="left"/>
        <w:spacing w:line="360" w:lineRule="auto"/>
        <w:rPr>
          <w:rFonts w:hint="eastAsia" w:ascii="宋体" w:hAnsi="宋体"/>
          <w:b/>
          <w:bCs/>
          <w:szCs w:val="21"/>
          <w:highlight w:val="none"/>
        </w:rPr>
      </w:pPr>
      <w:r>
        <w:rPr>
          <w:rFonts w:hint="eastAsia" w:ascii="宋体" w:hAnsi="宋体"/>
          <w:b/>
          <w:bCs/>
          <w:szCs w:val="21"/>
          <w:highlight w:val="none"/>
        </w:rPr>
        <w:t xml:space="preserve">二、商务要求</w:t>
      </w:r>
      <w:r>
        <w:rPr>
          <w:rFonts w:hint="eastAsia" w:ascii="宋体" w:hAnsi="宋体"/>
          <w:b/>
          <w:bCs/>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bCs/>
          <w:szCs w:val="21"/>
          <w:highlight w:val="none"/>
        </w:rPr>
        <w:t xml:space="preserve">1、合同履行期限：</w:t>
      </w:r>
      <w:r>
        <w:rPr>
          <w:rFonts w:hint="eastAsia" w:ascii="宋体" w:hAnsi="宋体"/>
          <w:bCs/>
          <w:szCs w:val="21"/>
          <w:highlight w:val="none"/>
        </w:rPr>
        <w:t xml:space="preserve">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年-202</w:t>
      </w:r>
      <w:r>
        <w:rPr>
          <w:rFonts w:hint="eastAsia" w:ascii="宋体" w:hAnsi="宋体"/>
          <w:bCs/>
          <w:szCs w:val="21"/>
          <w:highlight w:val="none"/>
          <w:lang w:val="en-US" w:eastAsia="zh-CN"/>
        </w:rPr>
        <w:t xml:space="preserve">7</w:t>
      </w:r>
      <w:r>
        <w:rPr>
          <w:rFonts w:hint="eastAsia" w:ascii="宋体" w:hAnsi="宋体"/>
          <w:bCs/>
          <w:szCs w:val="21"/>
          <w:highlight w:val="none"/>
        </w:rPr>
        <w:t xml:space="preserve">年，合同一年一签。前一年合同期满，采购人视供应商履约情况续签下一年合同</w:t>
      </w:r>
      <w:r>
        <w:rPr>
          <w:rFonts w:hint="eastAsia" w:ascii="宋体" w:hAnsi="宋体"/>
          <w:szCs w:val="21"/>
          <w:highlight w:val="none"/>
        </w:rPr>
        <w:t xml:space="preserve">。</w:t>
      </w:r>
      <w:r>
        <w:rPr>
          <w:rFonts w:hint="eastAsia" w:ascii="宋体" w:hAnsi="宋体"/>
          <w:szCs w:val="21"/>
          <w:highlight w:val="none"/>
        </w:rPr>
      </w:r>
      <w:r/>
    </w:p>
    <w:p>
      <w:pPr>
        <w:pStyle w:val="982"/>
        <w:ind w:firstLine="420"/>
        <w:jc w:val="left"/>
        <w:spacing w:line="360" w:lineRule="auto"/>
        <w:rPr>
          <w:rFonts w:hint="eastAsia" w:ascii="宋体" w:hAnsi="宋体" w:cs="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付款条件（进度和方式）</w:t>
      </w:r>
      <w:r>
        <w:rPr>
          <w:rFonts w:hint="eastAsia" w:ascii="宋体" w:hAnsi="宋体" w:cs="宋体"/>
          <w:szCs w:val="21"/>
          <w:highlight w:val="none"/>
        </w:rPr>
      </w:r>
      <w:r/>
    </w:p>
    <w:p>
      <w:pPr>
        <w:pStyle w:val="982"/>
        <w:ind w:firstLine="422"/>
        <w:jc w:val="left"/>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（1）本工程实行项目单价和审计确认的实际工程量的乘积为最终决算数。</w:t>
      </w:r>
      <w:r>
        <w:rPr>
          <w:rFonts w:hint="eastAsia" w:ascii="宋体" w:hAnsi="宋体"/>
          <w:b/>
          <w:color w:val="000000"/>
          <w:szCs w:val="21"/>
          <w:highlight w:val="none"/>
        </w:rPr>
      </w:r>
      <w:r/>
    </w:p>
    <w:p>
      <w:pPr>
        <w:pStyle w:val="982"/>
        <w:ind w:firstLine="422"/>
        <w:jc w:val="left"/>
        <w:spacing w:line="360" w:lineRule="auto"/>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lang w:val="en-US" w:eastAsia="zh-CN"/>
        </w:rPr>
        <w:t xml:space="preserve">2</w:t>
      </w:r>
      <w:r>
        <w:rPr>
          <w:rFonts w:hint="eastAsia" w:ascii="宋体" w:hAnsi="宋体" w:eastAsia="宋体" w:cs="Times New Roman"/>
          <w:b/>
          <w:color w:val="000000"/>
          <w:szCs w:val="21"/>
          <w:highlight w:val="none"/>
        </w:rPr>
        <w:t xml:space="preserve">）合同签订并在监理人发出开工令后，按</w:t>
      </w:r>
      <w:r>
        <w:rPr>
          <w:rFonts w:hint="eastAsia" w:ascii="宋体" w:hAnsi="宋体" w:eastAsia="宋体" w:cs="Times New Roman"/>
          <w:b/>
          <w:color w:val="000000"/>
          <w:szCs w:val="21"/>
          <w:highlight w:val="none"/>
          <w:lang w:val="en-US" w:eastAsia="zh-CN"/>
        </w:rPr>
        <w:t xml:space="preserve">10</w:t>
      </w:r>
      <w:r>
        <w:rPr>
          <w:rFonts w:hint="eastAsia" w:ascii="宋体" w:hAnsi="宋体" w:eastAsia="宋体" w:cs="Times New Roman"/>
          <w:b/>
          <w:color w:val="000000"/>
          <w:szCs w:val="21"/>
          <w:highlight w:val="none"/>
        </w:rPr>
        <w:t xml:space="preserve">%的签约合同价支付开工预付款</w:t>
      </w:r>
      <w:r>
        <w:rPr>
          <w:rFonts w:hint="eastAsia" w:ascii="宋体" w:hAnsi="宋体" w:eastAsia="宋体" w:cs="Times New Roman"/>
          <w:b/>
          <w:color w:val="000000"/>
          <w:szCs w:val="21"/>
          <w:highlight w:val="none"/>
          <w:lang w:eastAsia="zh-CN"/>
        </w:rPr>
        <w:t xml:space="preserve">。</w:t>
      </w:r>
      <w:r>
        <w:rPr>
          <w:rFonts w:hint="eastAsia" w:ascii="宋体" w:hAnsi="宋体" w:eastAsia="宋体" w:cs="Times New Roman"/>
          <w:b/>
          <w:color w:val="000000"/>
          <w:szCs w:val="21"/>
          <w:highlight w:val="none"/>
          <w:lang w:eastAsia="zh-CN"/>
        </w:rPr>
      </w:r>
      <w:r/>
    </w:p>
    <w:p>
      <w:pPr>
        <w:pStyle w:val="982"/>
        <w:ind w:firstLine="422"/>
        <w:jc w:val="left"/>
        <w:spacing w:line="360" w:lineRule="auto"/>
        <w:rPr>
          <w:rFonts w:hint="eastAsia" w:ascii="宋体" w:hAnsi="宋体"/>
          <w:b/>
          <w:color w:val="f79646"/>
          <w:szCs w:val="21"/>
          <w:highlight w:val="none"/>
        </w:rPr>
      </w:pPr>
      <w:r>
        <w:rPr>
          <w:rFonts w:hint="eastAsia" w:ascii="宋体" w:hAnsi="宋体"/>
          <w:b/>
          <w:color w:val="000000"/>
          <w:szCs w:val="21"/>
          <w:highlight w:val="none"/>
        </w:rPr>
        <w:t xml:space="preserve">（</w:t>
      </w:r>
      <w:r>
        <w:rPr>
          <w:rFonts w:hint="eastAsia" w:ascii="宋体" w:hAnsi="宋体"/>
          <w:b/>
          <w:color w:val="000000"/>
          <w:szCs w:val="21"/>
          <w:highlight w:val="none"/>
          <w:lang w:val="en-US" w:eastAsia="zh-CN"/>
        </w:rPr>
        <w:t xml:space="preserve">3</w:t>
      </w:r>
      <w:r>
        <w:rPr>
          <w:rFonts w:hint="eastAsia" w:ascii="宋体" w:hAnsi="宋体"/>
          <w:b/>
          <w:color w:val="000000"/>
          <w:szCs w:val="21"/>
          <w:highlight w:val="none"/>
        </w:rPr>
        <w:t xml:space="preserve">）项目按月计</w:t>
      </w:r>
      <w:r>
        <w:rPr>
          <w:rFonts w:hint="eastAsia" w:ascii="宋体" w:hAnsi="宋体"/>
          <w:b/>
          <w:color w:val="000000"/>
          <w:szCs w:val="21"/>
          <w:highlight w:val="none"/>
          <w:lang w:val="en-US" w:eastAsia="zh-CN"/>
        </w:rPr>
        <w:t xml:space="preserve">量</w:t>
      </w:r>
      <w:r>
        <w:rPr>
          <w:rFonts w:hint="eastAsia" w:ascii="宋体" w:hAnsi="宋体"/>
          <w:b/>
          <w:color w:val="000000"/>
          <w:szCs w:val="21"/>
          <w:highlight w:val="none"/>
        </w:rPr>
        <w:t xml:space="preserve">，当年年底</w:t>
      </w:r>
      <w:r>
        <w:rPr>
          <w:rFonts w:hint="eastAsia" w:ascii="宋体" w:hAnsi="宋体"/>
          <w:b/>
          <w:color w:val="000000"/>
          <w:szCs w:val="21"/>
          <w:highlight w:val="none"/>
          <w:lang w:val="en-US" w:eastAsia="zh-CN"/>
        </w:rPr>
        <w:t xml:space="preserve">完工</w:t>
      </w:r>
      <w:r>
        <w:rPr>
          <w:rFonts w:hint="eastAsia" w:ascii="宋体" w:hAnsi="宋体"/>
          <w:b/>
          <w:color w:val="000000"/>
          <w:szCs w:val="21"/>
          <w:highlight w:val="none"/>
        </w:rPr>
        <w:t xml:space="preserve">后支付至工程计</w:t>
      </w:r>
      <w:r>
        <w:rPr>
          <w:rFonts w:hint="eastAsia" w:ascii="宋体" w:hAnsi="宋体"/>
          <w:b/>
          <w:color w:val="000000"/>
          <w:szCs w:val="21"/>
          <w:highlight w:val="none"/>
          <w:lang w:val="en-US" w:eastAsia="zh-CN"/>
        </w:rPr>
        <w:t xml:space="preserve">量</w:t>
      </w:r>
      <w:r>
        <w:rPr>
          <w:rFonts w:hint="eastAsia" w:ascii="宋体" w:hAnsi="宋体"/>
          <w:b/>
          <w:color w:val="000000"/>
          <w:szCs w:val="21"/>
          <w:highlight w:val="none"/>
        </w:rPr>
        <w:t xml:space="preserve">款的97%</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同时一次性</w:t>
      </w:r>
      <w:r>
        <w:rPr>
          <w:rFonts w:hint="eastAsia" w:ascii="宋体" w:hAnsi="宋体"/>
          <w:b/>
          <w:color w:val="000000"/>
          <w:szCs w:val="21"/>
          <w:highlight w:val="none"/>
        </w:rPr>
        <w:t xml:space="preserve">扣回预付款</w:t>
      </w:r>
      <w:r>
        <w:rPr>
          <w:rFonts w:hint="eastAsia" w:ascii="宋体" w:hAnsi="宋体"/>
          <w:b/>
          <w:color w:val="000000"/>
          <w:szCs w:val="21"/>
          <w:highlight w:val="none"/>
          <w:lang w:eastAsia="zh-CN"/>
        </w:rPr>
        <w:t xml:space="preserve">）</w:t>
      </w:r>
      <w:r>
        <w:rPr>
          <w:rFonts w:hint="eastAsia" w:ascii="宋体" w:hAnsi="宋体"/>
          <w:b/>
          <w:color w:val="000000"/>
          <w:szCs w:val="21"/>
          <w:highlight w:val="none"/>
        </w:rPr>
        <w:t xml:space="preserve">，审计结束后结清当年余款(不计利息)。</w:t>
      </w:r>
      <w:r>
        <w:rPr>
          <w:rFonts w:hint="eastAsia" w:ascii="宋体" w:hAnsi="宋体"/>
          <w:b/>
          <w:color w:val="f79646"/>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3．包装和运输</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无。</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4．售后服务（质保期等）</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根据采购人要求提供相应后续服务，相关费用包含在报价内，不另行支付。</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、保险</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承包人负责履行本合同下所有义务的责任保险，包括工作人员、车辆以及与工作有关的其它一切责任保险。</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建筑工程一切险、第三者责任险等由承包人根据本工程的风险程度自行投保，其费用包括在清单报价内，不另行支付。</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highlight w:val="none"/>
        </w:rPr>
      </w:r>
      <w:r/>
    </w:p>
    <w:p>
      <w:pPr>
        <w:pStyle w:val="982"/>
        <w:ind w:firstLine="420"/>
        <w:jc w:val="left"/>
        <w:spacing w:line="440" w:lineRule="exact"/>
        <w:rPr>
          <w:rFonts w:hint="eastAsia" w:ascii="宋体" w:hAnsi="宋体"/>
          <w:szCs w:val="21"/>
          <w:highlight w:val="none"/>
        </w:rPr>
      </w:pPr>
      <w:r>
        <w:rPr>
          <w:rFonts w:hint="eastAsia" w:ascii="宋体" w:hAnsi="宋体"/>
          <w:szCs w:val="21"/>
          <w:highlight w:val="none"/>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、企业实力及拟投入人员要求</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)供应商具备与本项目相适应的类似业绩经历。</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(3)本项目要求配备1名项目经理和1名项目总工。</w:t>
      </w:r>
      <w:r>
        <w:rPr>
          <w:rFonts w:hint="eastAsia" w:ascii="宋体" w:hAnsi="宋体" w:eastAsia="宋体" w:cs="Times New Roman"/>
          <w:szCs w:val="21"/>
          <w:highlight w:val="none"/>
        </w:rPr>
      </w:r>
      <w:r/>
    </w:p>
    <w:p>
      <w:pPr>
        <w:pStyle w:val="982"/>
        <w:ind w:firstLine="422"/>
        <w:jc w:val="left"/>
        <w:spacing w:line="440" w:lineRule="exac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w:t>
      </w:r>
      <w:r>
        <w:rPr>
          <w:rFonts w:hint="eastAsia" w:ascii="宋体" w:hAnsi="宋体" w:eastAsia="宋体" w:cs="Times New Roman"/>
          <w:b/>
          <w:bCs/>
          <w:szCs w:val="21"/>
          <w:highlight w:val="none"/>
          <w:lang w:val="en-US" w:eastAsia="zh-CN"/>
        </w:rPr>
        <w:t xml:space="preserve">4</w:t>
      </w:r>
      <w:r>
        <w:rPr>
          <w:rFonts w:hint="eastAsia" w:ascii="宋体" w:hAnsi="宋体" w:eastAsia="宋体" w:cs="Times New Roman"/>
          <w:b/>
          <w:bCs/>
          <w:szCs w:val="21"/>
          <w:highlight w:val="none"/>
        </w:rPr>
        <w:t xml:space="preserve">)拟投入的项目经理具有建设行政主管部门颁发的有效的公路工程专业二级及以上建造师资质；且</w:t>
      </w:r>
      <w:r>
        <w:rPr>
          <w:rFonts w:hint="eastAsia" w:ascii="宋体" w:hAnsi="宋体" w:eastAsia="宋体" w:cs="Times New Roman"/>
          <w:b/>
          <w:bCs/>
          <w:szCs w:val="21"/>
          <w:highlight w:val="none"/>
          <w:lang w:val="en-US" w:eastAsia="zh-CN"/>
        </w:rPr>
        <w:t xml:space="preserve">具</w:t>
      </w:r>
      <w:r>
        <w:rPr>
          <w:rFonts w:hint="eastAsia" w:ascii="宋体" w:hAnsi="宋体" w:eastAsia="宋体" w:cs="Times New Roman"/>
          <w:b/>
          <w:bCs/>
          <w:szCs w:val="21"/>
          <w:highlight w:val="none"/>
        </w:rPr>
        <w:t xml:space="preserve">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eastAsia="宋体" w:cs="Times New Roman"/>
          <w:b/>
          <w:bCs/>
          <w:szCs w:val="21"/>
          <w:highlight w:val="none"/>
        </w:rPr>
      </w:r>
      <w:r/>
    </w:p>
    <w:p>
      <w:pPr>
        <w:pStyle w:val="982"/>
        <w:ind w:firstLine="422"/>
        <w:jc w:val="left"/>
        <w:spacing w:line="440" w:lineRule="exac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w:t>
      </w:r>
      <w:r>
        <w:rPr>
          <w:rFonts w:hint="eastAsia" w:ascii="宋体" w:hAnsi="宋体" w:eastAsia="宋体" w:cs="Times New Roman"/>
          <w:b/>
          <w:bCs/>
          <w:szCs w:val="21"/>
          <w:highlight w:val="none"/>
          <w:lang w:val="en-US" w:eastAsia="zh-CN"/>
        </w:rPr>
        <w:t xml:space="preserve">5</w:t>
      </w:r>
      <w:r>
        <w:rPr>
          <w:rFonts w:hint="eastAsia" w:ascii="宋体" w:hAnsi="宋体" w:eastAsia="宋体" w:cs="Times New Roman"/>
          <w:b/>
          <w:bCs/>
          <w:szCs w:val="21"/>
          <w:highlight w:val="non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eastAsia="宋体" w:cs="Times New Roman"/>
          <w:b/>
          <w:bCs/>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)项目经理具有一定的相关经验。</w:t>
      </w:r>
      <w:r>
        <w:rPr>
          <w:rFonts w:hint="eastAsia" w:ascii="宋体" w:hAnsi="宋体" w:eastAsia="宋体" w:cs="Times New Roman"/>
          <w:szCs w:val="21"/>
          <w:highlight w:val="none"/>
        </w:rPr>
      </w:r>
      <w:r/>
    </w:p>
    <w:p>
      <w:pPr>
        <w:pStyle w:val="982"/>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)本项目需配备一定数量的项目组成员（除项目经理外），且具备一定的资历。</w:t>
      </w:r>
      <w:r>
        <w:rPr>
          <w:rFonts w:hint="eastAsia" w:ascii="宋体" w:hAnsi="宋体" w:eastAsia="宋体" w:cs="Times New Roman"/>
          <w:szCs w:val="21"/>
          <w:highlight w:val="none"/>
        </w:rPr>
      </w:r>
      <w:r/>
    </w:p>
    <w:p>
      <w:pPr>
        <w:pStyle w:val="982"/>
        <w:ind w:firstLine="422"/>
        <w:jc w:val="left"/>
        <w:spacing w:line="440" w:lineRule="exact"/>
        <w:rPr>
          <w:rFonts w:hint="eastAsia" w:ascii="宋体" w:hAnsi="宋体" w:eastAsia="宋体" w:cs="Times New Roman"/>
          <w:szCs w:val="21"/>
          <w:highlight w:val="none"/>
          <w:lang w:eastAsia="zh-CN"/>
        </w:rPr>
      </w:pPr>
      <w:r>
        <w:rPr>
          <w:rFonts w:hint="eastAsia" w:ascii="宋体" w:hAnsi="宋体" w:eastAsia="宋体" w:cs="Times New Roman"/>
          <w:b/>
          <w:bCs/>
          <w:szCs w:val="21"/>
          <w:highlight w:val="none"/>
        </w:rPr>
        <w:t xml:space="preserve">★(</w:t>
      </w:r>
      <w:r>
        <w:rPr>
          <w:rFonts w:hint="eastAsia" w:ascii="宋体" w:hAnsi="宋体" w:eastAsia="宋体" w:cs="Times New Roman"/>
          <w:b/>
          <w:bCs/>
          <w:szCs w:val="21"/>
          <w:highlight w:val="none"/>
          <w:lang w:val="en-US" w:eastAsia="zh-CN"/>
        </w:rPr>
        <w:t xml:space="preserve">8</w:t>
      </w:r>
      <w:r>
        <w:rPr>
          <w:rFonts w:hint="eastAsia" w:ascii="宋体" w:hAnsi="宋体" w:eastAsia="宋体" w:cs="Times New Roman"/>
          <w:b/>
          <w:bCs/>
          <w:szCs w:val="21"/>
          <w:highlight w:val="none"/>
        </w:rPr>
        <w:t xml:space="preserve">)</w:t>
      </w:r>
      <w:r>
        <w:rPr>
          <w:rFonts w:hint="eastAsia" w:ascii="宋体" w:hAnsi="宋体"/>
          <w:b/>
          <w:szCs w:val="21"/>
          <w:highlight w:val="none"/>
        </w:rPr>
        <w:t xml:space="preserve">在本工程维护期限内，承包人保证对发生应急抢修等情况，能按发包人要求及时到达现场，进行修补或维护。确保道路通行正常。直接影响安全或功能丧失的维护（控制）响应时间不得超过60分钟，物理状态或一般功能缺陷维护响应时间不得超过48小时，轻微物理或功能缺陷维护响应时间不得超过10个工作日。不能满足该时效要求的，按承包人违约处理，发现一次，处以2000元的处罚，且不免除承包人对缺陷维修的责任。</w:t>
      </w:r>
      <w:r>
        <w:rPr>
          <w:rFonts w:hint="eastAsia" w:ascii="宋体" w:hAnsi="宋体" w:eastAsia="宋体" w:cs="Times New Roman"/>
          <w:szCs w:val="21"/>
          <w:highlight w:val="none"/>
          <w:lang w:eastAsia="zh-CN"/>
        </w:rPr>
      </w:r>
      <w:r/>
    </w:p>
    <w:p>
      <w:pPr>
        <w:pStyle w:val="982"/>
        <w:ind w:firstLine="200"/>
        <w:jc w:val="left"/>
        <w:spacing w:line="360" w:lineRule="auto"/>
        <w:rPr>
          <w:rFonts w:hint="eastAsia" w:ascii="宋体" w:hAnsi="宋体"/>
          <w:b/>
          <w:szCs w:val="21"/>
          <w:highlight w:val="none"/>
        </w:rPr>
      </w:pPr>
      <w:r>
        <w:rPr>
          <w:rFonts w:hint="eastAsia" w:ascii="宋体" w:hAnsi="宋体"/>
          <w:b/>
          <w:szCs w:val="21"/>
          <w:highlight w:val="none"/>
        </w:rPr>
      </w:r>
      <w:r/>
    </w:p>
    <w:p>
      <w:pPr>
        <w:pStyle w:val="982"/>
        <w:ind w:firstLine="200"/>
        <w:jc w:val="left"/>
        <w:spacing w:line="360" w:lineRule="auto"/>
        <w:rPr>
          <w:rFonts w:hint="eastAsia" w:ascii="宋体" w:hAnsi="宋体"/>
          <w:b/>
          <w:szCs w:val="21"/>
          <w:highlight w:val="none"/>
        </w:rPr>
      </w:pPr>
      <w:r>
        <w:rPr>
          <w:rFonts w:hint="eastAsia" w:ascii="宋体" w:hAnsi="宋体"/>
          <w:b/>
          <w:szCs w:val="21"/>
          <w:highlight w:val="none"/>
        </w:rPr>
        <w:t xml:space="preserve">三、技术要求</w:t>
      </w:r>
      <w:r>
        <w:rPr>
          <w:rFonts w:hint="eastAsia" w:ascii="宋体" w:hAnsi="宋体"/>
          <w:b/>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1、基本要求</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1.1 采购标的需实现的功能或者目标</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为了改善道路交通秩序，提高交通安全；加强运输管理，规范运输行业市场秩序；维护交通运输法治，完善长效机制；最终提高交通安全水平。</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1.2 需执行的国家相关标准、行业标准、地方标准或者其他标准、规范</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按照《公路工程技术标准》（JTG B01-2014）、《公路工程施工安全技术规范》（JTG-F90-2015）交通运输部《公路工程标准施工招标文件》（2018 年版）中技术规范</w:t>
      </w:r>
      <w:r>
        <w:rPr>
          <w:rFonts w:hint="eastAsia" w:ascii="宋体" w:hAnsi="宋体"/>
          <w:szCs w:val="21"/>
          <w:highlight w:val="none"/>
          <w:lang w:eastAsia="zh-CN"/>
        </w:rPr>
        <w:t xml:space="preserve">、《公路交通设施日常维护管理考核管理办法》</w:t>
      </w:r>
      <w:r>
        <w:rPr>
          <w:rFonts w:hint="eastAsia" w:ascii="宋体" w:hAnsi="宋体"/>
          <w:szCs w:val="21"/>
          <w:highlight w:val="none"/>
        </w:rPr>
        <w:t xml:space="preserve">及本项目工程量清单执行。</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2、施工要求</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2.1根据《江苏省交通建设工程质量和安全生产监督管理条例》（2022 年9月29日江苏省第十三届人民代表大会常务委员会第三十二次会议通过），施工单位应当推进施工班组标准化、施工现场安全标准化建设，做好施工场地安全布置、施工现场安全防护、施工工艺操作、施工安全管理活动记录，对工程项目重大危险源、危险部位进行公示并设置明显的安全警示标志。</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2.3文明施工：施工要做到工完场清、施工不扰民、现场部扬沉、运输无遗撒、垃圾不乱弃，努力营造良好的施工作业环境。</w:t>
      </w:r>
      <w:r>
        <w:rPr>
          <w:rFonts w:hint="eastAsia" w:ascii="宋体" w:hAnsi="宋体"/>
          <w:szCs w:val="21"/>
          <w:highlight w:val="none"/>
        </w:rPr>
      </w:r>
      <w:r/>
    </w:p>
    <w:p>
      <w:pPr>
        <w:pStyle w:val="982"/>
        <w:ind w:firstLine="420"/>
        <w:jc w:val="left"/>
        <w:spacing w:line="360" w:lineRule="auto"/>
        <w:rPr>
          <w:rFonts w:hint="eastAsia" w:ascii="宋体" w:hAnsi="宋体"/>
          <w:szCs w:val="21"/>
          <w:highlight w:val="none"/>
        </w:rPr>
      </w:pPr>
      <w:r>
        <w:rPr>
          <w:rFonts w:hint="eastAsia" w:ascii="宋体" w:hAnsi="宋体"/>
          <w:szCs w:val="21"/>
          <w:highlight w:val="none"/>
        </w:rPr>
        <w:t xml:space="preserve">2.4环境保护（含扬尘防治）：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highlight w:val="none"/>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szCs w:val="21"/>
          <w:highlight w:val="none"/>
        </w:rPr>
      </w:r>
      <w:r/>
    </w:p>
    <w:p>
      <w:pPr>
        <w:pStyle w:val="982"/>
        <w:numPr>
          <w:ilvl w:val="0"/>
          <w:numId w:val="4"/>
        </w:numPr>
        <w:ind w:firstLine="420"/>
        <w:spacing w:line="360" w:lineRule="auto"/>
        <w:rPr>
          <w:rFonts w:hint="eastAsia" w:ascii="宋体" w:hAnsi="宋体"/>
          <w:szCs w:val="21"/>
          <w:highlight w:val="none"/>
        </w:rPr>
      </w:pPr>
      <w:r>
        <w:rPr>
          <w:rFonts w:hint="eastAsia" w:ascii="宋体" w:hAnsi="宋体"/>
          <w:szCs w:val="21"/>
          <w:highlight w:val="none"/>
        </w:rPr>
        <w:t xml:space="preserve">验收标准：</w:t>
      </w:r>
      <w:r>
        <w:rPr>
          <w:rFonts w:hint="eastAsia" w:ascii="宋体" w:hAnsi="宋体"/>
          <w:szCs w:val="21"/>
          <w:highlight w:val="none"/>
          <w:lang w:val="en-US" w:eastAsia="zh-CN"/>
        </w:rPr>
        <w:t xml:space="preserve">按照《武进区农村公路安保设施养护管理考核办法》考核验收，文件获取链接</w:t>
      </w:r>
      <w:r>
        <w:rPr>
          <w:rFonts w:hint="eastAsia" w:ascii="宋体" w:hAnsi="宋体"/>
          <w:szCs w:val="21"/>
          <w:highlight w:val="none"/>
          <w:lang w:val="en-US" w:eastAsia="zh-CN"/>
        </w:rPr>
        <w:t xml:space="preserve">：</w:t>
      </w:r>
      <w:r>
        <w:rPr>
          <w:rFonts w:hint="eastAsia" w:ascii="宋体" w:hAnsi="宋体"/>
          <w:szCs w:val="21"/>
          <w:highlight w:val="none"/>
        </w:rPr>
        <w:t xml:space="preserve">https://pan.baidu.com/s/1FOPM7mDYZOkrsDBAZ6NlUw</w:t>
      </w:r>
      <w:r>
        <w:rPr>
          <w:rFonts w:hint="eastAsia" w:ascii="宋体" w:hAnsi="宋体"/>
          <w:szCs w:val="21"/>
          <w:highlight w:val="none"/>
          <w:lang w:val="en-US" w:eastAsia="zh-CN"/>
        </w:rPr>
        <w:t xml:space="preserve">，提取码：</w:t>
      </w:r>
      <w:r>
        <w:rPr>
          <w:rFonts w:hint="eastAsia" w:ascii="宋体" w:hAnsi="宋体"/>
          <w:szCs w:val="21"/>
          <w:highlight w:val="none"/>
        </w:rPr>
        <w:t xml:space="preserve">qua2</w:t>
      </w:r>
      <w:r>
        <w:rPr>
          <w:rFonts w:hint="eastAsia" w:ascii="宋体" w:hAnsi="宋体"/>
          <w:szCs w:val="21"/>
          <w:highlight w:val="none"/>
          <w:lang w:val="en-US" w:eastAsia="zh-CN"/>
        </w:rPr>
        <w:t xml:space="preserve">；</w:t>
      </w:r>
      <w:r>
        <w:rPr>
          <w:rFonts w:hint="eastAsia" w:ascii="宋体" w:hAnsi="宋体"/>
          <w:szCs w:val="21"/>
          <w:highlight w:val="none"/>
        </w:rPr>
        <w:t xml:space="preserve">安全目标：无安全责任事故。</w:t>
      </w:r>
      <w:r>
        <w:rPr>
          <w:rFonts w:hint="eastAsia" w:ascii="宋体" w:hAnsi="宋体"/>
          <w:szCs w:val="21"/>
          <w:highlight w:val="none"/>
        </w:rPr>
      </w:r>
      <w:r/>
    </w:p>
    <w:p>
      <w:pPr>
        <w:pStyle w:val="982"/>
        <w:ind w:firstLine="420"/>
        <w:spacing w:line="360" w:lineRule="auto"/>
        <w:rPr>
          <w:rFonts w:ascii="宋体" w:hAnsi="宋体"/>
          <w:bCs/>
          <w:szCs w:val="21"/>
          <w:highlight w:val="none"/>
        </w:rPr>
      </w:pPr>
      <w:r>
        <w:rPr>
          <w:rFonts w:hint="eastAsia" w:ascii="宋体" w:hAnsi="宋体"/>
          <w:bCs/>
          <w:szCs w:val="21"/>
          <w:highlight w:val="none"/>
        </w:rPr>
        <w:t xml:space="preserve">4、供应商须说明其是否响应采购文件中提出的全部内容与要求，如果以其中某些条款不响应时，应在文件中逐条列出，未列出的视同响应。</w:t>
      </w:r>
      <w:r>
        <w:rPr>
          <w:rFonts w:ascii="宋体" w:hAnsi="宋体"/>
          <w:bCs/>
          <w:szCs w:val="21"/>
          <w:highlight w:val="none"/>
        </w:rPr>
      </w:r>
      <w:r/>
    </w:p>
    <w:p>
      <w:pPr>
        <w:pStyle w:val="982"/>
        <w:ind w:firstLine="420"/>
        <w:spacing w:line="360" w:lineRule="auto"/>
        <w:rPr>
          <w:rFonts w:ascii="宋体" w:hAnsi="宋体"/>
          <w:bCs/>
          <w:szCs w:val="21"/>
          <w:highlight w:val="none"/>
        </w:rPr>
      </w:pPr>
      <w:r>
        <w:rPr>
          <w:rFonts w:hint="eastAsia" w:ascii="宋体" w:hAnsi="宋体"/>
          <w:bCs/>
          <w:szCs w:val="21"/>
          <w:highlight w:val="none"/>
        </w:rPr>
        <w:t xml:space="preserve">5、本项目报价是指</w:t>
      </w:r>
      <w:r>
        <w:rPr>
          <w:rFonts w:hint="eastAsia" w:ascii="宋体" w:hAnsi="宋体"/>
          <w:szCs w:val="21"/>
          <w:highlight w:val="none"/>
        </w:rPr>
        <w:t xml:space="preserve">为优质完成磋商文件所确定的采购范围相应工作内容所需的全部费用，除非合同另有规定，包括了为实施和完成合同工程所需的劳务、专项评估、会务、材料、机械、质检（自检）、安装、缺陷修复、管理、保险、税费、利润等费用，以及合同明示或暗示的所有责任、义务和一般风险。采购人不再支付其他任何费用。</w:t>
      </w:r>
      <w:r>
        <w:rPr>
          <w:rFonts w:ascii="宋体" w:hAnsi="宋体"/>
          <w:bCs/>
          <w:szCs w:val="21"/>
          <w:highlight w:val="none"/>
        </w:rPr>
      </w:r>
      <w:r/>
    </w:p>
    <w:p>
      <w:pPr>
        <w:pStyle w:val="982"/>
        <w:ind w:firstLine="420"/>
        <w:spacing w:line="360" w:lineRule="auto"/>
        <w:rPr>
          <w:rFonts w:ascii="宋体" w:hAnsi="宋体"/>
          <w:bCs/>
          <w:szCs w:val="21"/>
          <w:highlight w:val="none"/>
        </w:rPr>
      </w:pPr>
      <w:r>
        <w:rPr>
          <w:rFonts w:hint="eastAsia" w:ascii="宋体" w:hAnsi="宋体"/>
          <w:bCs/>
          <w:szCs w:val="21"/>
          <w:highlight w:val="none"/>
        </w:rPr>
        <w:t xml:space="preserve">6、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highlight w:val="none"/>
        </w:rPr>
      </w:r>
      <w:r/>
    </w:p>
    <w:p>
      <w:pPr>
        <w:pStyle w:val="982"/>
        <w:ind w:firstLine="420"/>
        <w:spacing w:line="360" w:lineRule="auto"/>
        <w:rPr>
          <w:rFonts w:hint="eastAsia" w:ascii="宋体" w:hAnsi="宋体"/>
          <w:bCs/>
          <w:szCs w:val="21"/>
          <w:highlight w:val="none"/>
        </w:rPr>
      </w:pPr>
      <w:r>
        <w:rPr>
          <w:rFonts w:hint="eastAsia" w:ascii="宋体" w:hAnsi="宋体"/>
          <w:bCs/>
          <w:szCs w:val="21"/>
          <w:highlight w:val="none"/>
        </w:rPr>
        <w:t xml:space="preserve">7、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highlight w:val="none"/>
        </w:rPr>
      </w:r>
      <w:r/>
    </w:p>
    <w:p>
      <w:pPr>
        <w:pStyle w:val="982"/>
        <w:ind w:firstLine="420"/>
        <w:spacing w:line="360" w:lineRule="auto"/>
        <w:rPr>
          <w:rFonts w:ascii="宋体" w:hAnsi="宋体"/>
          <w:bCs/>
          <w:szCs w:val="21"/>
          <w:highlight w:val="none"/>
        </w:rPr>
      </w:pPr>
      <w:r>
        <w:rPr>
          <w:rFonts w:hint="eastAsia" w:ascii="宋体" w:hAnsi="宋体"/>
          <w:bCs/>
          <w:szCs w:val="21"/>
          <w:highlight w:val="none"/>
        </w:rPr>
        <w:t xml:space="preserve">8、成交单位应定期以书面形式向采购人汇报进度和任务完成情况，并接受采购单位的检查，同时根据采购单位要求向采购人汇报或接受检查。</w:t>
      </w:r>
      <w:r>
        <w:rPr>
          <w:rFonts w:ascii="宋体" w:hAnsi="宋体"/>
          <w:bCs/>
          <w:szCs w:val="21"/>
          <w:highlight w:val="none"/>
        </w:rPr>
      </w:r>
      <w:r/>
    </w:p>
    <w:p>
      <w:pPr>
        <w:pStyle w:val="1076"/>
        <w:contextualSpacing/>
        <w:ind w:firstLine="0"/>
        <w:spacing w:line="360" w:lineRule="auto"/>
        <w:rPr>
          <w:rFonts w:ascii="Times New Roman" w:hAnsi="Times New Roman"/>
          <w:b/>
          <w:szCs w:val="21"/>
          <w:highlight w:val="none"/>
        </w:rPr>
      </w:pPr>
      <w:r>
        <w:rPr>
          <w:rFonts w:hint="eastAsia" w:ascii="Times New Roman" w:hAnsi="Times New Roman"/>
          <w:b/>
          <w:szCs w:val="21"/>
          <w:highlight w:val="none"/>
        </w:rPr>
        <w:t xml:space="preserve">四、</w:t>
      </w:r>
      <w:r>
        <w:rPr>
          <w:rFonts w:ascii="Times New Roman" w:hAnsi="Times New Roman"/>
          <w:b/>
          <w:szCs w:val="21"/>
          <w:highlight w:val="none"/>
        </w:rPr>
        <w:t xml:space="preserve">其他要求</w:t>
      </w:r>
      <w:r>
        <w:rPr>
          <w:rFonts w:ascii="Times New Roman" w:hAnsi="Times New Roman"/>
          <w:b/>
          <w:szCs w:val="21"/>
          <w:highlight w:val="none"/>
        </w:rPr>
      </w:r>
      <w:r/>
    </w:p>
    <w:p>
      <w:pPr>
        <w:pStyle w:val="982"/>
        <w:ind w:firstLine="420"/>
        <w:jc w:val="left"/>
        <w:spacing w:line="440" w:lineRule="exact"/>
        <w:rPr>
          <w:rFonts w:hint="eastAsia" w:ascii="宋体" w:hAnsi="宋体"/>
          <w:color w:val="000000"/>
          <w:highlight w:val="none"/>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、供应商须说明其是否响应采购文件中提出的全部内容与要求，如果以其中某些条款不响应时，应在文件中逐条列出，未列出的视同响应。</w:t>
      </w:r>
      <w:r>
        <w:rPr>
          <w:rFonts w:hint="eastAsia" w:ascii="宋体" w:hAnsi="宋体"/>
          <w:color w:val="000000"/>
          <w:highlight w:val="none"/>
        </w:rPr>
      </w:r>
      <w:r/>
    </w:p>
    <w:p>
      <w:pPr>
        <w:pStyle w:val="982"/>
        <w:ind w:firstLine="420"/>
        <w:jc w:val="left"/>
        <w:spacing w:line="440" w:lineRule="exact"/>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、报价方式</w:t>
      </w:r>
      <w:r>
        <w:rPr>
          <w:rFonts w:ascii="宋体" w:hAnsi="宋体"/>
          <w:color w:val="000000"/>
          <w:highlight w:val="none"/>
        </w:rPr>
      </w:r>
      <w:r/>
    </w:p>
    <w:p>
      <w:pPr>
        <w:pStyle w:val="982"/>
        <w:ind w:firstLine="422"/>
        <w:jc w:val="left"/>
        <w:spacing w:line="440" w:lineRule="exact"/>
        <w:rPr>
          <w:rFonts w:hint="eastAsia" w:ascii="宋体" w:hAnsi="宋体"/>
          <w:color w:val="000000"/>
          <w:highlight w:val="none"/>
        </w:rPr>
      </w:pPr>
      <w:r>
        <w:rPr>
          <w:rFonts w:hint="eastAsia" w:ascii="宋体" w:hAnsi="宋体"/>
          <w:b/>
          <w:szCs w:val="21"/>
          <w:highlight w:val="none"/>
        </w:rPr>
        <w:t xml:space="preserve">本项目合同形式采用</w:t>
      </w:r>
      <w:r>
        <w:rPr>
          <w:rFonts w:hint="eastAsia" w:ascii="宋体" w:hAnsi="宋体"/>
          <w:b/>
          <w:szCs w:val="21"/>
          <w:highlight w:val="none"/>
          <w:u w:val="single"/>
        </w:rPr>
        <w:t xml:space="preserve"> 固定单价合同 </w:t>
      </w:r>
      <w:r>
        <w:rPr>
          <w:rFonts w:hint="eastAsia" w:ascii="宋体" w:hAnsi="宋体"/>
          <w:b/>
          <w:szCs w:val="21"/>
          <w:highlight w:val="none"/>
        </w:rPr>
        <w:t xml:space="preserve">，</w:t>
      </w:r>
      <w:r>
        <w:rPr>
          <w:rFonts w:hint="eastAsia" w:ascii="宋体" w:hAnsi="宋体"/>
          <w:color w:val="000000"/>
          <w:highlight w:val="none"/>
        </w:rPr>
        <w:t xml:space="preserve">本项目报价是指为优质完成磋商文件所确定的采购范围相应工作内容所需的全部费用，除非合同另有规定，包括了为实施和完成合同工程所需的劳务、材料、机械、质检（自检）、安装、缺陷修复、管理、保险、税费、利润等费用，以及合同明示或暗示的所有责任、义务和一般风险。采购人不再支付其他任何费用。</w:t>
      </w:r>
      <w:r>
        <w:rPr>
          <w:rFonts w:hint="eastAsia" w:ascii="宋体" w:hAnsi="宋体"/>
          <w:color w:val="000000"/>
          <w:highlight w:val="none"/>
        </w:rPr>
      </w:r>
      <w:r/>
    </w:p>
    <w:p>
      <w:pPr>
        <w:pStyle w:val="982"/>
        <w:ind w:firstLine="420"/>
        <w:jc w:val="left"/>
        <w:spacing w:line="440" w:lineRule="exact"/>
        <w:rPr>
          <w:rFonts w:hint="eastAsia" w:ascii="宋体" w:hAnsi="宋体"/>
          <w:color w:val="000000"/>
          <w:highlight w:val="none"/>
        </w:rPr>
      </w:pPr>
      <w:r>
        <w:rPr>
          <w:rFonts w:hint="eastAsia" w:ascii="宋体" w:hAnsi="宋体"/>
          <w:color w:val="000000"/>
          <w:highlight w:val="none"/>
        </w:rPr>
        <w:t xml:space="preserve">4.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color w:val="000000"/>
          <w:highlight w:val="none"/>
        </w:rPr>
      </w:r>
      <w:r/>
    </w:p>
    <w:p>
      <w:pPr>
        <w:pStyle w:val="982"/>
        <w:ind w:firstLine="420"/>
        <w:jc w:val="left"/>
        <w:spacing w:line="440" w:lineRule="exact"/>
        <w:rPr>
          <w:rFonts w:hint="eastAsia" w:ascii="宋体" w:hAnsi="宋体"/>
          <w:color w:val="000000"/>
          <w:highlight w:val="none"/>
        </w:rPr>
      </w:pPr>
      <w:r>
        <w:rPr>
          <w:rFonts w:hint="eastAsia" w:ascii="宋体" w:hAnsi="宋体"/>
          <w:color w:val="000000"/>
          <w:highlight w:val="none"/>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highlight w:val="none"/>
        </w:rPr>
      </w:r>
      <w:r/>
    </w:p>
    <w:p>
      <w:pPr>
        <w:pStyle w:val="982"/>
        <w:ind w:firstLine="420"/>
        <w:jc w:val="left"/>
        <w:spacing w:line="440" w:lineRule="exact"/>
        <w:rPr>
          <w:rFonts w:hint="eastAsia" w:ascii="宋体" w:hAnsi="宋体"/>
          <w:bCs/>
          <w:szCs w:val="21"/>
          <w:highlight w:val="none"/>
        </w:rPr>
      </w:pPr>
      <w:r>
        <w:rPr>
          <w:rFonts w:hint="eastAsia" w:ascii="宋体" w:hAnsi="宋体"/>
          <w:bCs/>
          <w:szCs w:val="21"/>
          <w:highlight w:val="none"/>
        </w:rPr>
        <w:t xml:space="preserve">5．实质性要求</w:t>
      </w:r>
      <w:r>
        <w:rPr>
          <w:rFonts w:hint="eastAsia" w:ascii="宋体" w:hAnsi="宋体"/>
          <w:bCs/>
          <w:szCs w:val="21"/>
          <w:highlight w:val="none"/>
        </w:rPr>
      </w:r>
      <w:r/>
    </w:p>
    <w:p>
      <w:pPr>
        <w:pStyle w:val="982"/>
        <w:ind w:firstLine="420"/>
        <w:jc w:val="left"/>
        <w:spacing w:line="360" w:lineRule="auto"/>
        <w:rPr>
          <w:rFonts w:hint="eastAsia" w:ascii="宋体" w:hAnsi="宋体"/>
          <w:i/>
          <w:iCs/>
          <w:sz w:val="24"/>
          <w:highlight w:val="none"/>
          <w:u w:val="single"/>
        </w:rPr>
      </w:pPr>
      <w:r>
        <w:rPr>
          <w:rFonts w:hint="eastAsia" w:ascii="仿宋_GB2312"/>
          <w:i/>
          <w:szCs w:val="32"/>
          <w:highlight w:val="none"/>
          <w:u w:val="single"/>
        </w:rPr>
        <w:t xml:space="preserve">采购需求中如有必须满足的实质性要求，应当以</w:t>
      </w:r>
      <w:r>
        <w:rPr>
          <w:rFonts w:hint="eastAsia" w:ascii="仿宋_GB2312" w:hAnsi="宋体"/>
          <w:bCs/>
          <w:i/>
          <w:szCs w:val="32"/>
          <w:highlight w:val="none"/>
          <w:u w:val="single"/>
        </w:rPr>
        <w:t xml:space="preserve">斜体且下划线标注或者加“★”号标注</w:t>
      </w:r>
      <w:r>
        <w:rPr>
          <w:rFonts w:hint="eastAsia" w:ascii="仿宋_GB2312"/>
          <w:i/>
          <w:szCs w:val="32"/>
          <w:highlight w:val="none"/>
          <w:u w:val="single"/>
        </w:rPr>
        <w:t xml:space="preserve">。并另行以表格形式单独逐条列明，且明确需要提供的证明材料。</w:t>
      </w:r>
      <w:r>
        <w:rPr>
          <w:rFonts w:hint="eastAsia" w:ascii="宋体" w:hAnsi="宋体"/>
          <w:i/>
          <w:iCs/>
          <w:sz w:val="24"/>
          <w:highlight w:val="none"/>
          <w:u w:val="single"/>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7"/>
        <w:gridCol w:w="7761"/>
        <w:gridCol w:w="1420"/>
      </w:tblGrid>
      <w:tr>
        <w:trPr>
          <w:trHeight w:val="673"/>
        </w:trPr>
        <w:tc>
          <w:tcPr>
            <w:tcW w:w="334" w:type="dxa"/>
            <w:vAlign w:val="center"/>
            <w:textDirection w:val="lrTb"/>
            <w:noWrap w:val="false"/>
          </w:tcPr>
          <w:p>
            <w:pPr>
              <w:pStyle w:val="982"/>
              <w:jc w:val="center"/>
              <w:spacing w:line="360" w:lineRule="exac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bidi="ar"/>
              </w:rPr>
              <w:t xml:space="preserve">序号</w:t>
            </w:r>
            <w:r>
              <w:rPr>
                <w:rFonts w:hint="eastAsia" w:ascii="宋体" w:hAnsi="宋体" w:cs="宋体"/>
                <w:b/>
                <w:bCs/>
                <w:szCs w:val="21"/>
                <w:highlight w:val="none"/>
              </w:rPr>
            </w:r>
            <w:r/>
          </w:p>
        </w:tc>
        <w:tc>
          <w:tcPr>
            <w:tcW w:w="3943" w:type="dxa"/>
            <w:vAlign w:val="center"/>
            <w:textDirection w:val="lrTb"/>
            <w:noWrap w:val="false"/>
          </w:tcPr>
          <w:p>
            <w:pPr>
              <w:pStyle w:val="982"/>
              <w:jc w:val="center"/>
              <w:spacing w:line="360" w:lineRule="exac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bidi="ar"/>
              </w:rPr>
              <w:t xml:space="preserve">采购需求实质性响应体条款</w:t>
            </w:r>
            <w:r>
              <w:rPr>
                <w:rFonts w:hint="eastAsia" w:ascii="宋体" w:hAnsi="宋体" w:cs="宋体"/>
                <w:b/>
                <w:bCs/>
                <w:szCs w:val="21"/>
                <w:highlight w:val="none"/>
              </w:rPr>
            </w:r>
            <w:r/>
          </w:p>
        </w:tc>
        <w:tc>
          <w:tcPr>
            <w:tcW w:w="721" w:type="dxa"/>
            <w:vAlign w:val="center"/>
            <w:textDirection w:val="lrTb"/>
            <w:noWrap w:val="false"/>
          </w:tcPr>
          <w:p>
            <w:pPr>
              <w:pStyle w:val="982"/>
              <w:jc w:val="center"/>
              <w:spacing w:line="360" w:lineRule="exac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bidi="ar"/>
              </w:rPr>
              <w:t xml:space="preserve">需提供的证明材料</w:t>
            </w:r>
            <w:r>
              <w:rPr>
                <w:rFonts w:hint="eastAsia" w:ascii="宋体" w:hAnsi="宋体" w:cs="宋体"/>
                <w:b/>
                <w:bCs/>
                <w:szCs w:val="21"/>
                <w:highlight w:val="none"/>
              </w:rPr>
            </w:r>
            <w:r/>
          </w:p>
        </w:tc>
      </w:tr>
      <w:tr>
        <w:trPr/>
        <w:tc>
          <w:tcPr>
            <w:tcW w:w="334" w:type="dxa"/>
            <w:vAlign w:val="center"/>
            <w:textDirection w:val="lrTb"/>
            <w:noWrap w:val="false"/>
          </w:tcPr>
          <w:p>
            <w:pPr>
              <w:pStyle w:val="982"/>
              <w:jc w:val="center"/>
              <w:spacing w:line="360" w:lineRule="exact"/>
              <w:rPr>
                <w:rFonts w:hint="eastAsia" w:ascii="宋体" w:hAnsi="宋体" w:eastAsia="宋体" w:cs="宋体"/>
                <w:b/>
                <w:bCs/>
                <w:color w:val="ff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1</w:t>
            </w:r>
            <w:r>
              <w:rPr>
                <w:rFonts w:hint="eastAsia" w:ascii="宋体" w:hAnsi="宋体" w:eastAsia="宋体" w:cs="宋体"/>
                <w:b/>
                <w:bCs/>
                <w:color w:val="ff0000"/>
                <w:szCs w:val="21"/>
                <w:highlight w:val="none"/>
                <w:lang w:eastAsia="zh-CN"/>
              </w:rPr>
            </w:r>
            <w:r/>
          </w:p>
        </w:tc>
        <w:tc>
          <w:tcPr>
            <w:tcW w:w="3943" w:type="dxa"/>
            <w:vAlign w:val="center"/>
            <w:textDirection w:val="lrTb"/>
            <w:noWrap w:val="false"/>
          </w:tcPr>
          <w:p>
            <w:pPr>
              <w:pStyle w:val="982"/>
              <w:rPr>
                <w:rFonts w:hint="eastAsia" w:ascii="宋体" w:hAnsi="宋体" w:cs="宋体"/>
                <w:b/>
                <w:bCs/>
                <w:color w:val="ff0000"/>
                <w:szCs w:val="21"/>
                <w:highlight w:val="none"/>
              </w:rPr>
            </w:pPr>
            <w:r>
              <w:rPr>
                <w:rFonts w:hint="eastAsia" w:ascii="宋体" w:hAnsi="宋体" w:cs="宋体"/>
                <w:b/>
                <w:bCs/>
                <w:szCs w:val="21"/>
                <w:highlight w:val="none"/>
                <w:u w:val="single"/>
              </w:rPr>
              <w:t xml:space="preserve">★拟投入的项目经理具有建设行政主管部门颁发的有效的公路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cs="宋体"/>
                <w:b/>
                <w:bCs/>
                <w:color w:val="ff0000"/>
                <w:szCs w:val="21"/>
                <w:highlight w:val="none"/>
              </w:rPr>
            </w:r>
            <w:r/>
          </w:p>
        </w:tc>
        <w:tc>
          <w:tcPr>
            <w:tcW w:w="721" w:type="dxa"/>
            <w:vAlign w:val="center"/>
            <w:textDirection w:val="lrTb"/>
            <w:noWrap w:val="false"/>
          </w:tcPr>
          <w:p>
            <w:pPr>
              <w:pStyle w:val="982"/>
              <w:jc w:val="center"/>
              <w:spacing w:line="360" w:lineRule="exact"/>
              <w:rPr>
                <w:rFonts w:ascii="宋体" w:hAnsi="宋体" w:cs="宋体"/>
                <w:b/>
                <w:bCs/>
                <w:color w:val="ff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bidi="ar"/>
              </w:rPr>
              <w:t xml:space="preserve">提供证书电子扫描件</w:t>
            </w:r>
            <w:r>
              <w:rPr>
                <w:rFonts w:ascii="宋体" w:hAnsi="宋体" w:cs="宋体"/>
                <w:b/>
                <w:bCs/>
                <w:color w:val="ff0000"/>
                <w:szCs w:val="21"/>
                <w:highlight w:val="none"/>
              </w:rPr>
            </w:r>
            <w:r/>
          </w:p>
        </w:tc>
      </w:tr>
      <w:tr>
        <w:trPr/>
        <w:tc>
          <w:tcPr>
            <w:tcW w:w="334" w:type="dxa"/>
            <w:vAlign w:val="center"/>
            <w:textDirection w:val="lrTb"/>
            <w:noWrap w:val="false"/>
          </w:tcPr>
          <w:p>
            <w:pPr>
              <w:pStyle w:val="982"/>
              <w:jc w:val="center"/>
              <w:spacing w:line="360" w:lineRule="exact"/>
              <w:rPr>
                <w:rFonts w:hint="eastAsia" w:ascii="宋体" w:hAnsi="宋体" w:eastAsia="宋体" w:cs="宋体"/>
                <w:b/>
                <w:bCs/>
                <w:szCs w:val="21"/>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2</w:t>
            </w:r>
            <w:r>
              <w:rPr>
                <w:rFonts w:hint="eastAsia" w:ascii="宋体" w:hAnsi="宋体" w:eastAsia="宋体" w:cs="宋体"/>
                <w:b/>
                <w:bCs/>
                <w:szCs w:val="21"/>
                <w:highlight w:val="none"/>
                <w:lang w:eastAsia="zh-CN" w:bidi="ar"/>
              </w:rPr>
            </w:r>
            <w:r/>
          </w:p>
        </w:tc>
        <w:tc>
          <w:tcPr>
            <w:tcW w:w="3943" w:type="dxa"/>
            <w:vAlign w:val="center"/>
            <w:textDirection w:val="lrTb"/>
            <w:noWrap w:val="false"/>
          </w:tcPr>
          <w:p>
            <w:pPr>
              <w:pStyle w:val="982"/>
              <w:rPr>
                <w:rFonts w:hint="eastAsia" w:ascii="宋体" w:hAnsi="宋体" w:cs="宋体"/>
                <w:b/>
                <w:bCs/>
                <w:szCs w:val="21"/>
                <w:highlight w:val="none"/>
                <w:u w:val="single"/>
              </w:rPr>
            </w:pPr>
            <w:r>
              <w:rPr>
                <w:rFonts w:hint="eastAsia" w:ascii="宋体" w:hAnsi="宋体" w:cs="宋体"/>
                <w:b/>
                <w:bCs/>
                <w:szCs w:val="21"/>
                <w:highlight w:val="none"/>
                <w:u w:val="singl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cs="宋体"/>
                <w:b/>
                <w:bCs/>
                <w:szCs w:val="21"/>
                <w:highlight w:val="none"/>
                <w:u w:val="single"/>
              </w:rPr>
            </w:r>
            <w:r/>
          </w:p>
        </w:tc>
        <w:tc>
          <w:tcPr>
            <w:tcW w:w="721" w:type="dxa"/>
            <w:vAlign w:val="center"/>
            <w:textDirection w:val="lrTb"/>
            <w:noWrap w:val="false"/>
          </w:tcPr>
          <w:p>
            <w:pPr>
              <w:pStyle w:val="982"/>
              <w:jc w:val="center"/>
              <w:spacing w:line="360" w:lineRule="exact"/>
              <w:rPr>
                <w:rFonts w:hint="eastAsia" w:ascii="宋体" w:hAnsi="宋体" w:cs="宋体"/>
                <w:b/>
                <w:bCs/>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bidi="ar"/>
              </w:rPr>
              <w:t xml:space="preserve">提供证书电子扫描件</w:t>
            </w:r>
            <w:r>
              <w:rPr>
                <w:rFonts w:hint="eastAsia" w:ascii="宋体" w:hAnsi="宋体" w:cs="宋体"/>
                <w:b/>
                <w:bCs/>
                <w:szCs w:val="21"/>
                <w:highlight w:val="none"/>
                <w:lang w:bidi="ar"/>
              </w:rPr>
            </w:r>
            <w:r/>
          </w:p>
        </w:tc>
      </w:tr>
      <w:tr>
        <w:trPr/>
        <w:tc>
          <w:tcPr>
            <w:tcW w:w="334" w:type="dxa"/>
            <w:vAlign w:val="center"/>
            <w:textDirection w:val="lrTb"/>
            <w:noWrap w:val="false"/>
          </w:tcPr>
          <w:p>
            <w:pPr>
              <w:pStyle w:val="982"/>
              <w:jc w:val="center"/>
              <w:spacing w:line="360" w:lineRule="exact"/>
              <w:rPr>
                <w:rFonts w:ascii="宋体" w:hAnsi="宋体" w:cs="宋体"/>
                <w:b/>
                <w:bCs/>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3</w:t>
            </w:r>
            <w:r>
              <w:rPr>
                <w:rFonts w:ascii="宋体" w:hAnsi="宋体" w:cs="宋体"/>
                <w:b/>
                <w:bCs/>
                <w:szCs w:val="21"/>
                <w:highlight w:val="none"/>
                <w:lang w:val="en-US" w:eastAsia="zh-CN" w:bidi="ar"/>
              </w:rPr>
            </w:r>
            <w:r/>
          </w:p>
        </w:tc>
        <w:tc>
          <w:tcPr>
            <w:tcW w:w="3943" w:type="dxa"/>
            <w:vAlign w:val="center"/>
            <w:textDirection w:val="lrTb"/>
            <w:noWrap w:val="false"/>
          </w:tcPr>
          <w:p>
            <w:pPr>
              <w:pStyle w:val="982"/>
              <w:rPr>
                <w:rFonts w:hint="eastAsia" w:ascii="宋体" w:hAnsi="宋体" w:cs="宋体"/>
                <w:b/>
                <w:bCs/>
                <w:szCs w:val="21"/>
                <w:highlight w:val="none"/>
                <w:u w:val="single"/>
              </w:rPr>
            </w:pPr>
            <w:r>
              <w:rPr>
                <w:rFonts w:hint="eastAsia" w:ascii="宋体" w:hAnsi="宋体" w:cs="宋体"/>
                <w:b/>
                <w:bCs/>
                <w:szCs w:val="21"/>
                <w:highlight w:val="none"/>
                <w:u w:val="single"/>
              </w:rPr>
              <w:t xml:space="preserve">★</w:t>
            </w:r>
            <w:r>
              <w:rPr>
                <w:rFonts w:hint="eastAsia" w:ascii="宋体" w:hAnsi="宋体" w:cs="宋体"/>
                <w:b/>
                <w:bCs/>
                <w:szCs w:val="21"/>
                <w:highlight w:val="none"/>
                <w:u w:val="single"/>
              </w:rPr>
              <w:t xml:space="preserve">在本工程维护期限内，承包人保证对发生应急抢修等情况，能按发包人要求及时到达现场，进行修补或维护。确保道路通行正常。直接影响安全或功能丧失的维护（控制）响应时间不得超过60分钟，物理状态或一般功能缺陷维护响应时间不得超过48小时，轻微物理或功能缺陷维护响应时间不得超过10个工作日。不能满足该时效要求的，按承包人违约处理，发现一次，处以2000元的处罚，且不免除承包人对缺陷维修的责任。</w:t>
            </w:r>
            <w:r>
              <w:rPr>
                <w:rFonts w:hint="eastAsia" w:ascii="宋体" w:hAnsi="宋体" w:cs="宋体"/>
                <w:b/>
                <w:bCs/>
                <w:szCs w:val="21"/>
                <w:highlight w:val="none"/>
                <w:u w:val="single"/>
              </w:rPr>
            </w:r>
            <w:r/>
          </w:p>
        </w:tc>
        <w:tc>
          <w:tcPr>
            <w:tcW w:w="721" w:type="dxa"/>
            <w:vAlign w:val="center"/>
            <w:textDirection w:val="lrTb"/>
            <w:noWrap w:val="false"/>
          </w:tcPr>
          <w:p>
            <w:pPr>
              <w:pStyle w:val="982"/>
              <w:jc w:val="center"/>
              <w:spacing w:line="360" w:lineRule="exact"/>
              <w:rPr>
                <w:rFonts w:ascii="宋体" w:hAnsi="宋体" w:eastAsia="宋体" w:cs="宋体"/>
                <w:b/>
                <w:bCs/>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填写承诺书，格式自拟</w:t>
            </w:r>
            <w:r>
              <w:rPr>
                <w:rFonts w:ascii="宋体" w:hAnsi="宋体" w:eastAsia="宋体" w:cs="宋体"/>
                <w:b/>
                <w:bCs/>
                <w:szCs w:val="21"/>
                <w:highlight w:val="none"/>
                <w:lang w:val="en-US" w:eastAsia="zh-CN" w:bidi="ar"/>
              </w:rPr>
            </w:r>
            <w:r/>
          </w:p>
        </w:tc>
      </w:tr>
    </w:tbl>
    <w:p>
      <w:pPr>
        <w:pStyle w:val="982"/>
        <w:contextualSpacing/>
        <w:ind w:firstLine="422"/>
        <w:spacing w:line="360" w:lineRule="auto"/>
        <w:rPr>
          <w:rFonts w:hint="eastAsia" w:ascii="宋体" w:hAnsi="宋体"/>
          <w:bCs/>
          <w:szCs w:val="21"/>
          <w:highlight w:val="none"/>
        </w:rPr>
      </w:pPr>
      <w:r>
        <w:rPr>
          <w:rFonts w:hint="eastAsia" w:ascii="宋体" w:hAnsi="宋体" w:cs="宋体"/>
          <w:b/>
          <w:szCs w:val="21"/>
          <w:highlight w:val="none"/>
          <w:u w:val="single"/>
        </w:rPr>
        <w:t xml:space="preserve">注：以上“</w:t>
      </w:r>
      <w:r>
        <w:rPr>
          <w:rFonts w:hint="eastAsia" w:ascii="宋体" w:hAnsi="宋体" w:cs="宋体"/>
          <w:szCs w:val="21"/>
          <w:highlight w:val="none"/>
          <w:u w:val="single"/>
        </w:rPr>
        <w:t xml:space="preserve">★</w:t>
      </w:r>
      <w:r>
        <w:rPr>
          <w:rFonts w:hint="eastAsia" w:ascii="宋体" w:hAnsi="宋体" w:cs="宋体"/>
          <w:b/>
          <w:szCs w:val="21"/>
          <w:highlight w:val="none"/>
          <w:u w:val="single"/>
        </w:rPr>
        <w:t xml:space="preserve">”为实质性响应项，投标人应按采购需求内容提供证明材料，未提供视为未响应采购文件实质性要求，做无效标处理。</w:t>
      </w:r>
      <w:r>
        <w:rPr>
          <w:rFonts w:hint="eastAsia" w:ascii="宋体" w:hAnsi="宋体"/>
          <w:bCs/>
          <w:szCs w:val="21"/>
          <w:highlight w:val="none"/>
        </w:rPr>
      </w:r>
      <w:r/>
    </w:p>
    <w:p>
      <w:pPr>
        <w:pStyle w:val="982"/>
        <w:contextualSpacing/>
        <w:ind w:firstLine="420"/>
        <w:spacing w:line="360" w:lineRule="auto"/>
        <w:rPr>
          <w:rFonts w:hint="eastAsia" w:ascii="宋体" w:hAnsi="宋体"/>
          <w:bCs/>
          <w:szCs w:val="21"/>
          <w:highlight w:val="none"/>
        </w:rPr>
      </w:pPr>
      <w:r>
        <w:rPr>
          <w:rFonts w:hint="eastAsia" w:ascii="宋体" w:hAnsi="宋体"/>
          <w:bCs/>
          <w:szCs w:val="21"/>
          <w:highlight w:val="none"/>
        </w:rPr>
        <w:t xml:space="preserve">6．采购标的对应的中小企业划分标准所属行业一览表</w:t>
      </w:r>
      <w:r>
        <w:rPr>
          <w:rFonts w:hint="eastAsia" w:ascii="宋体" w:hAnsi="宋体"/>
          <w:bCs/>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Height w:val="567"/>
        </w:trPr>
        <w:tc>
          <w:tcPr>
            <w:tcW w:w="407" w:type="dxa"/>
            <w:vAlign w:val="center"/>
            <w:textDirection w:val="lrTb"/>
            <w:noWrap w:val="false"/>
          </w:tcPr>
          <w:p>
            <w:pPr>
              <w:pStyle w:val="982"/>
              <w:jc w:val="center"/>
              <w:spacing w:line="0" w:lineRule="atLeas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2460" w:type="dxa"/>
            <w:vAlign w:val="center"/>
            <w:textDirection w:val="lrTb"/>
            <w:noWrap w:val="false"/>
          </w:tcPr>
          <w:p>
            <w:pPr>
              <w:pStyle w:val="982"/>
              <w:jc w:val="center"/>
              <w:spacing w:line="0" w:lineRule="atLeast"/>
              <w:rPr>
                <w:rFonts w:hint="eastAsia" w:ascii="宋体" w:hAnsi="宋体" w:cs="宋体"/>
                <w:szCs w:val="21"/>
                <w:highlight w:val="none"/>
              </w:rPr>
            </w:pPr>
            <w:r>
              <w:rPr>
                <w:rFonts w:hint="eastAsia" w:ascii="宋体" w:hAnsi="宋体" w:cs="宋体"/>
                <w:szCs w:val="21"/>
                <w:highlight w:val="none"/>
              </w:rPr>
              <w:t xml:space="preserve">采购标的</w:t>
            </w:r>
            <w:r>
              <w:rPr>
                <w:rFonts w:hint="eastAsia" w:ascii="宋体" w:hAnsi="宋体" w:cs="宋体"/>
                <w:szCs w:val="21"/>
                <w:highlight w:val="none"/>
              </w:rPr>
            </w:r>
            <w:r/>
          </w:p>
        </w:tc>
        <w:tc>
          <w:tcPr>
            <w:tcW w:w="2132" w:type="dxa"/>
            <w:vAlign w:val="center"/>
            <w:textDirection w:val="lrTb"/>
            <w:noWrap w:val="false"/>
          </w:tcPr>
          <w:p>
            <w:pPr>
              <w:pStyle w:val="982"/>
              <w:jc w:val="center"/>
              <w:spacing w:line="0" w:lineRule="atLeast"/>
              <w:rPr>
                <w:rFonts w:hint="eastAsia" w:ascii="宋体" w:hAnsi="宋体" w:cs="宋体"/>
                <w:szCs w:val="21"/>
                <w:highlight w:val="none"/>
              </w:rPr>
            </w:pPr>
            <w:r>
              <w:rPr>
                <w:rFonts w:hint="eastAsia" w:ascii="宋体" w:hAnsi="宋体" w:cs="宋体"/>
                <w:szCs w:val="21"/>
                <w:highlight w:val="none"/>
              </w:rPr>
              <w:t xml:space="preserve">对应中小企业划分标准所属行业</w:t>
            </w:r>
            <w:r>
              <w:rPr>
                <w:rFonts w:hint="eastAsia" w:ascii="宋体" w:hAnsi="宋体" w:cs="宋体"/>
                <w:szCs w:val="21"/>
                <w:highlight w:val="none"/>
              </w:rPr>
            </w:r>
            <w:r/>
          </w:p>
        </w:tc>
      </w:tr>
      <w:tr>
        <w:trPr>
          <w:cantSplit/>
          <w:trHeight w:val="567"/>
        </w:trPr>
        <w:tc>
          <w:tcPr>
            <w:tcW w:w="407" w:type="dxa"/>
            <w:vAlign w:val="center"/>
            <w:textDirection w:val="lrTb"/>
            <w:noWrap w:val="false"/>
          </w:tcPr>
          <w:p>
            <w:pPr>
              <w:pStyle w:val="982"/>
              <w:jc w:val="center"/>
              <w:spacing w:line="0" w:lineRule="atLeas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2460" w:type="dxa"/>
            <w:vAlign w:val="center"/>
            <w:textDirection w:val="lrTb"/>
            <w:noWrap w:val="false"/>
          </w:tcPr>
          <w:p>
            <w:pPr>
              <w:pStyle w:val="982"/>
              <w:jc w:val="center"/>
              <w:spacing w:line="0" w:lineRule="atLeast"/>
              <w:rPr>
                <w:rFonts w:hint="eastAsia" w:ascii="宋体" w:hAnsi="宋体" w:eastAsia="宋体" w:cs="宋体"/>
                <w:szCs w:val="21"/>
                <w:highlight w:val="none"/>
                <w:lang w:eastAsia="zh-CN"/>
              </w:rPr>
            </w:pPr>
            <w:r>
              <w:rPr>
                <w:rFonts w:hint="eastAsia" w:ascii="宋体" w:hAnsi="宋体"/>
                <w:bCs/>
                <w:color w:val="000000"/>
                <w:szCs w:val="21"/>
                <w:highlight w:val="none"/>
                <w:lang w:eastAsia="zh-CN"/>
              </w:rPr>
              <w:t xml:space="preserve">2026-2027年度武进区农村公路安保设施养护及应急保障项目</w:t>
            </w:r>
            <w:r>
              <w:rPr>
                <w:rFonts w:hint="eastAsia" w:ascii="宋体" w:hAnsi="宋体" w:eastAsia="宋体" w:cs="宋体"/>
                <w:szCs w:val="21"/>
                <w:highlight w:val="none"/>
                <w:lang w:eastAsia="zh-CN"/>
              </w:rPr>
            </w:r>
            <w:r/>
          </w:p>
        </w:tc>
        <w:tc>
          <w:tcPr>
            <w:tcW w:w="2132" w:type="dxa"/>
            <w:vAlign w:val="center"/>
            <w:textDirection w:val="lrTb"/>
            <w:noWrap w:val="false"/>
          </w:tcPr>
          <w:p>
            <w:pPr>
              <w:pStyle w:val="982"/>
              <w:jc w:val="center"/>
              <w:spacing w:line="0" w:lineRule="atLeast"/>
              <w:rPr>
                <w:rFonts w:hint="eastAsia" w:ascii="宋体" w:hAnsi="宋体" w:cs="宋体"/>
                <w:szCs w:val="21"/>
                <w:highlight w:val="none"/>
              </w:rPr>
            </w:pPr>
            <w:r>
              <w:rPr>
                <w:rFonts w:hint="eastAsia" w:ascii="宋体" w:hAnsi="宋体" w:cs="宋体"/>
                <w:szCs w:val="21"/>
                <w:highlight w:val="none"/>
              </w:rPr>
              <w:t xml:space="preserve">交通运输业</w:t>
            </w:r>
            <w:r>
              <w:rPr>
                <w:rFonts w:hint="eastAsia" w:ascii="宋体" w:hAnsi="宋体" w:cs="宋体"/>
                <w:szCs w:val="21"/>
                <w:highlight w:val="none"/>
              </w:rPr>
            </w:r>
            <w:r/>
          </w:p>
        </w:tc>
      </w:tr>
    </w:tbl>
    <w:p>
      <w:pPr>
        <w:pStyle w:val="982"/>
        <w:contextualSpacing/>
        <w:spacing w:line="360" w:lineRule="auto"/>
        <w:rPr>
          <w:bCs/>
          <w:sz w:val="24"/>
          <w:highlight w:val="none"/>
        </w:rPr>
      </w:pPr>
      <w:r>
        <w:rPr>
          <w:bCs/>
          <w:sz w:val="24"/>
          <w:highlight w:val="none"/>
        </w:rPr>
      </w:r>
      <w:r/>
    </w:p>
    <w:p>
      <w:pPr>
        <w:pStyle w:val="982"/>
        <w:rPr>
          <w:highlight w:val="none"/>
        </w:rPr>
      </w:pPr>
      <w:r>
        <w:rPr>
          <w:highlight w:val="none"/>
        </w:rPr>
      </w:r>
      <w:r/>
    </w:p>
    <w:p>
      <w:pPr>
        <w:pStyle w:val="982"/>
        <w:jc w:val="center"/>
        <w:widowControl/>
        <w:rPr>
          <w:b/>
          <w:sz w:val="36"/>
          <w:szCs w:val="36"/>
          <w:highlight w:val="none"/>
        </w:rPr>
      </w:pPr>
      <w:r>
        <w:rPr>
          <w:b/>
          <w:sz w:val="36"/>
          <w:szCs w:val="36"/>
          <w:highlight w:val="none"/>
        </w:rPr>
        <w:br w:type="page" w:clear="all"/>
      </w:r>
      <w:bookmarkStart w:id="653" w:name="_Toc104818929"/>
      <w:r>
        <w:rPr>
          <w:b/>
          <w:sz w:val="36"/>
          <w:szCs w:val="36"/>
          <w:highlight w:val="none"/>
        </w:rPr>
        <w:t xml:space="preserve">第五章   合同草案条款</w:t>
      </w:r>
      <w:bookmarkEnd w:id="653"/>
      <w:r>
        <w:rPr>
          <w:b/>
          <w:sz w:val="36"/>
          <w:szCs w:val="36"/>
          <w:highlight w:val="none"/>
        </w:rPr>
      </w:r>
      <w:r/>
    </w:p>
    <w:p>
      <w:pPr>
        <w:pStyle w:val="1231"/>
        <w:jc w:val="center"/>
        <w:spacing w:line="400" w:lineRule="exact"/>
        <w:shd w:val="clear" w:color="auto" w:fill="ffffff"/>
        <w:rPr>
          <w:b/>
          <w:sz w:val="32"/>
          <w:szCs w:val="32"/>
          <w:highlight w:val="none"/>
        </w:rPr>
      </w:pPr>
      <w:r>
        <w:rPr>
          <w:rFonts w:hint="eastAsia"/>
          <w:b/>
          <w:sz w:val="32"/>
          <w:szCs w:val="32"/>
          <w:highlight w:val="none"/>
          <w:lang w:eastAsia="zh-CN"/>
        </w:rPr>
        <w:t xml:space="preserve">2026-2027年度武进区农村公路安保设施养护及应急保障项目</w:t>
      </w:r>
      <w:r>
        <w:rPr>
          <w:rFonts w:hint="eastAsia"/>
          <w:b/>
          <w:sz w:val="32"/>
          <w:szCs w:val="32"/>
          <w:highlight w:val="none"/>
        </w:rPr>
        <w:t xml:space="preserve">合同</w:t>
      </w:r>
      <w:r>
        <w:rPr>
          <w:b/>
          <w:sz w:val="32"/>
          <w:szCs w:val="32"/>
          <w:highlight w:val="none"/>
        </w:rPr>
      </w:r>
      <w:r/>
    </w:p>
    <w:p>
      <w:pPr>
        <w:pStyle w:val="982"/>
        <w:spacing w:line="440" w:lineRule="exact"/>
        <w:rPr>
          <w:rFonts w:ascii="宋体" w:hAnsi="宋体"/>
          <w:szCs w:val="21"/>
          <w:highlight w:val="none"/>
        </w:rPr>
      </w:pPr>
      <w:r>
        <w:rPr>
          <w:rFonts w:hint="eastAsia" w:ascii="宋体" w:hAnsi="宋体"/>
          <w:szCs w:val="21"/>
          <w:highlight w:val="none"/>
        </w:rPr>
        <w:t xml:space="preserve">发包人：</w:t>
      </w:r>
      <w:r>
        <w:rPr>
          <w:rFonts w:hint="eastAsia" w:ascii="宋体" w:hAnsi="宋体"/>
          <w:szCs w:val="21"/>
          <w:highlight w:val="none"/>
          <w:u w:val="single"/>
        </w:rPr>
        <w:t xml:space="preserve"> 常州市武进区公路事业发展中心</w:t>
      </w:r>
      <w:r>
        <w:rPr>
          <w:rFonts w:ascii="宋体" w:hAnsi="宋体"/>
          <w:szCs w:val="21"/>
          <w:highlight w:val="none"/>
        </w:rPr>
      </w:r>
      <w:r/>
    </w:p>
    <w:p>
      <w:pPr>
        <w:pStyle w:val="982"/>
        <w:spacing w:line="440" w:lineRule="exact"/>
        <w:rPr>
          <w:szCs w:val="21"/>
          <w:highlight w:val="none"/>
          <w:u w:val="single"/>
        </w:rPr>
      </w:pPr>
      <w:r>
        <w:rPr>
          <w:rFonts w:hint="eastAsia" w:ascii="宋体" w:hAnsi="宋体"/>
          <w:szCs w:val="21"/>
          <w:highlight w:val="none"/>
        </w:rPr>
        <w:t xml:space="preserve">承包人：</w:t>
      </w:r>
      <w:r>
        <w:rPr>
          <w:szCs w:val="21"/>
          <w:highlight w:val="none"/>
          <w:u w:val="single"/>
        </w:rPr>
        <w:t xml:space="preserve">                             </w:t>
      </w:r>
      <w:r>
        <w:rPr>
          <w:szCs w:val="21"/>
          <w:highlight w:val="none"/>
          <w:u w:val="singl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按照《中华人民共和国民法典》以及相关公路工程标准的原则，结合本工程具体情况，双方达成如下协议；</w:t>
      </w:r>
      <w:r>
        <w:rPr>
          <w:rFonts w:ascii="宋体" w:hAnsi="宋体"/>
          <w:szCs w:val="21"/>
          <w:highlight w:val="none"/>
        </w:rPr>
      </w:r>
      <w:r/>
    </w:p>
    <w:p>
      <w:pPr>
        <w:pStyle w:val="982"/>
        <w:ind w:firstLine="420"/>
        <w:spacing w:line="440" w:lineRule="exact"/>
        <w:rPr>
          <w:rFonts w:hint="eastAsia" w:ascii="宋体" w:hAnsi="宋体" w:eastAsia="宋体"/>
          <w:szCs w:val="21"/>
          <w:highlight w:val="none"/>
          <w:u w:val="single"/>
          <w:lang w:eastAsia="zh-CN"/>
        </w:rPr>
      </w:pPr>
      <w:r>
        <w:rPr>
          <w:rFonts w:hint="eastAsia" w:ascii="宋体" w:hAnsi="宋体"/>
          <w:szCs w:val="21"/>
          <w:highlight w:val="none"/>
        </w:rPr>
        <w:t xml:space="preserve">一、工程名称：</w:t>
      </w:r>
      <w:r>
        <w:rPr>
          <w:rFonts w:hint="eastAsia" w:ascii="宋体" w:hAnsi="宋体"/>
          <w:szCs w:val="21"/>
          <w:highlight w:val="none"/>
          <w:u w:val="single"/>
          <w:lang w:eastAsia="zh-CN"/>
        </w:rPr>
        <w:t xml:space="preserve">2026-2027年度武进区农村公路安保设施养护及应急保障项目</w:t>
      </w:r>
      <w:r>
        <w:rPr>
          <w:rFonts w:hint="eastAsia" w:ascii="宋体" w:hAnsi="宋体" w:eastAsia="宋体"/>
          <w:szCs w:val="21"/>
          <w:highlight w:val="none"/>
          <w:u w:val="single"/>
          <w:lang w:eastAsia="zh-CN"/>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合同编号：</w:t>
      </w:r>
      <w:r>
        <w:rPr>
          <w:rFonts w:hint="eastAsia" w:ascii="宋体" w:hAnsi="宋体"/>
          <w:szCs w:val="21"/>
          <w:highlight w:val="none"/>
          <w:u w:val="single"/>
        </w:rPr>
        <w:t xml:space="preserve">                            </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二、工作内容：</w:t>
      </w:r>
      <w:r>
        <w:rPr>
          <w:rFonts w:hint="eastAsia" w:ascii="宋体" w:hAnsi="宋体"/>
          <w:szCs w:val="21"/>
          <w:highlight w:val="none"/>
          <w:u w:val="single"/>
        </w:rPr>
        <w:t xml:space="preserve">                            </w:t>
      </w:r>
      <w:r>
        <w:rPr>
          <w:rFonts w:ascii="宋体" w:hAnsi="宋体"/>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三、承包方式：</w:t>
      </w:r>
      <w:r>
        <w:rPr>
          <w:rFonts w:hint="eastAsia" w:ascii="宋体" w:hAnsi="宋体" w:eastAsia="宋体" w:cs="Times New Roman"/>
          <w:szCs w:val="21"/>
          <w:highlight w:val="none"/>
          <w:u w:val="single"/>
        </w:rPr>
        <w:t xml:space="preserve"> 双包 </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下列文件应视为构成合同文件的组成部分：</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（1）本协议书及各种合同附件（含评标期间和合同谈判过程中的澄清文件和补充资料）；</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（2）成交通知书；</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（3）磋商响应文件；</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（4）磋商文件；</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（5）图纸；</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（6）已标价工程量清单（附后）；</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（7）其他合同文件。</w:t>
      </w:r>
      <w:r>
        <w:rPr>
          <w:rFonts w:hint="eastAsia" w:ascii="宋体" w:hAnsi="宋体" w:eastAsia="宋体" w:cs="Times New Roman"/>
          <w:szCs w:val="21"/>
          <w:highlight w:val="none"/>
        </w:rPr>
      </w:r>
      <w:r/>
    </w:p>
    <w:p>
      <w:pPr>
        <w:pStyle w:val="982"/>
        <w:ind w:firstLine="420"/>
        <w:spacing w:line="440" w:lineRule="exact"/>
        <w:rPr>
          <w:rFonts w:hint="eastAsia" w:ascii="宋体" w:hAnsi="宋体"/>
          <w:szCs w:val="21"/>
          <w:highlight w:val="none"/>
        </w:rPr>
      </w:pPr>
      <w:r>
        <w:rPr>
          <w:rFonts w:hint="eastAsia" w:ascii="宋体" w:hAnsi="宋体"/>
          <w:szCs w:val="21"/>
          <w:highlight w:val="none"/>
        </w:rPr>
        <w:t xml:space="preserve">上述文件均指适用于本合同的文件，并将互相补充和解释，若有不明确或不一致之处，以上述顺序在先者为准。</w:t>
      </w:r>
      <w:r>
        <w:rPr>
          <w:rFonts w:hint="eastAsia"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lang w:val="en-US" w:eastAsia="zh-CN"/>
        </w:rPr>
        <w:t xml:space="preserve">四</w:t>
      </w:r>
      <w:r>
        <w:rPr>
          <w:rFonts w:hint="eastAsia" w:ascii="宋体" w:hAnsi="宋体"/>
          <w:szCs w:val="21"/>
          <w:highlight w:val="none"/>
        </w:rPr>
        <w:t xml:space="preserve">、本项目合同总价：</w:t>
      </w:r>
      <w:r>
        <w:rPr>
          <w:rFonts w:hint="eastAsia" w:ascii="宋体" w:hAnsi="宋体"/>
          <w:szCs w:val="21"/>
          <w:highlight w:val="none"/>
          <w:u w:val="single"/>
        </w:rPr>
        <w:t xml:space="preserve">      （¥      ）</w:t>
      </w:r>
      <w:r>
        <w:rPr>
          <w:rFonts w:hint="eastAsia" w:ascii="宋体" w:hAnsi="宋体"/>
          <w:szCs w:val="21"/>
          <w:highlight w:val="none"/>
        </w:rPr>
        <w:t xml:space="preserve">。本合同采用</w:t>
      </w:r>
      <w:r>
        <w:rPr>
          <w:rFonts w:hint="eastAsia" w:ascii="宋体" w:hAnsi="宋体"/>
          <w:b/>
          <w:szCs w:val="21"/>
          <w:highlight w:val="none"/>
        </w:rPr>
        <w:t xml:space="preserve">固定单价</w:t>
      </w:r>
      <w:r>
        <w:rPr>
          <w:rFonts w:hint="eastAsia" w:ascii="宋体" w:hAnsi="宋体"/>
          <w:szCs w:val="21"/>
          <w:highlight w:val="none"/>
        </w:rPr>
        <w:t xml:space="preserve">结算方式。合同单价在合同实施过程中固定不变，承包人不得借口任何理由要求调整中标合同单价。</w:t>
      </w:r>
      <w:r>
        <w:rPr>
          <w:rFonts w:ascii="宋体" w:hAnsi="宋体"/>
          <w:szCs w:val="21"/>
          <w:highlight w:val="none"/>
        </w:rPr>
      </w:r>
      <w:r/>
    </w:p>
    <w:p>
      <w:pPr>
        <w:pStyle w:val="982"/>
        <w:ind w:firstLine="420"/>
        <w:spacing w:line="440" w:lineRule="exact"/>
        <w:rPr>
          <w:rFonts w:ascii="宋体" w:hAnsi="宋体"/>
          <w:szCs w:val="21"/>
          <w:highlight w:val="none"/>
          <w:u w:val="single"/>
        </w:rPr>
      </w:pPr>
      <w:r>
        <w:rPr>
          <w:rFonts w:hint="eastAsia" w:ascii="宋体" w:hAnsi="宋体"/>
          <w:szCs w:val="21"/>
          <w:highlight w:val="none"/>
        </w:rPr>
        <w:t xml:space="preserve">本工程项目单价按照该中标工程量清单单价执行，项目工程数量以审计数量为准。</w:t>
      </w:r>
      <w:r>
        <w:rPr>
          <w:rFonts w:ascii="宋体" w:hAnsi="宋体"/>
          <w:szCs w:val="21"/>
          <w:highlight w:val="none"/>
          <w:u w:val="single"/>
        </w:rPr>
      </w:r>
      <w:r/>
    </w:p>
    <w:p>
      <w:pPr>
        <w:pStyle w:val="982"/>
        <w:ind w:firstLine="420"/>
        <w:spacing w:line="440" w:lineRule="exact"/>
        <w:rPr>
          <w:rFonts w:ascii="宋体" w:hAnsi="宋体"/>
          <w:szCs w:val="21"/>
          <w:highlight w:val="none"/>
        </w:rPr>
      </w:pPr>
      <w:r>
        <w:rPr>
          <w:rFonts w:hint="eastAsia" w:ascii="宋体" w:hAnsi="宋体"/>
          <w:szCs w:val="21"/>
          <w:highlight w:val="none"/>
          <w:lang w:val="en-US" w:eastAsia="zh-CN"/>
        </w:rPr>
        <w:t xml:space="preserve">五、</w:t>
      </w:r>
      <w:r>
        <w:rPr>
          <w:rFonts w:hint="eastAsia" w:ascii="宋体" w:hAnsi="宋体"/>
          <w:szCs w:val="21"/>
          <w:highlight w:val="none"/>
        </w:rPr>
        <w:t xml:space="preserve">本项目的项目经理：</w:t>
      </w:r>
      <w:r>
        <w:rPr>
          <w:rFonts w:hint="eastAsia" w:ascii="宋体" w:hAnsi="宋体"/>
          <w:szCs w:val="21"/>
          <w:highlight w:val="none"/>
          <w:u w:val="single"/>
        </w:rPr>
        <w:t xml:space="preserve">          </w:t>
      </w:r>
      <w:r>
        <w:rPr>
          <w:rFonts w:hint="eastAsia" w:ascii="宋体" w:hAnsi="宋体"/>
          <w:szCs w:val="21"/>
          <w:highlight w:val="none"/>
        </w:rPr>
        <w:t xml:space="preserve">。在整个工程实施过程中，承包人派出的项目负责人必须是响应文件中承诺的项目负责人。未事先征得发包人同意，承包人不得擅自更换项目负责人，否则将被视为承包人违约。若确需更换必须获得发包人的同意并保证调整后不得低于原有的水平，</w:t>
      </w:r>
      <w:r>
        <w:rPr>
          <w:rFonts w:hint="eastAsia" w:ascii="宋体" w:hAnsi="宋体"/>
          <w:b/>
          <w:szCs w:val="21"/>
          <w:highlight w:val="none"/>
        </w:rPr>
        <w:t xml:space="preserve">承包人更换一次项目负责人则将被处以违约金0.5万元</w:t>
      </w:r>
      <w:r>
        <w:rPr>
          <w:rFonts w:hint="eastAsia" w:ascii="宋体" w:hAnsi="宋体"/>
          <w:szCs w:val="21"/>
          <w:highlight w:val="none"/>
        </w:rPr>
        <w:t xml:space="preserve">。但发包人有权根据工程实施情况要求承包人立即更换项目负责人，对此，承包人不得拒绝。</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lang w:val="en-US" w:eastAsia="zh-CN"/>
        </w:rPr>
        <w:t xml:space="preserve">六</w:t>
      </w:r>
      <w:r>
        <w:rPr>
          <w:rFonts w:hint="eastAsia" w:ascii="宋体" w:hAnsi="宋体"/>
          <w:szCs w:val="21"/>
          <w:highlight w:val="none"/>
        </w:rPr>
        <w:t xml:space="preserve">、开竣工日期及施工进度要求：</w:t>
      </w:r>
      <w:r>
        <w:rPr>
          <w:rFonts w:ascii="宋体" w:hAnsi="宋体"/>
          <w:szCs w:val="21"/>
          <w:highlight w:val="none"/>
        </w:rPr>
      </w:r>
      <w:r/>
    </w:p>
    <w:p>
      <w:pPr>
        <w:pStyle w:val="982"/>
        <w:ind w:firstLine="420"/>
        <w:spacing w:line="440" w:lineRule="exact"/>
        <w:rPr>
          <w:rFonts w:hint="eastAsia" w:ascii="宋体" w:hAnsi="宋体"/>
          <w:highlight w:val="none"/>
        </w:rPr>
      </w:pPr>
      <w:r>
        <w:rPr>
          <w:rFonts w:hint="eastAsia" w:ascii="宋体" w:hAnsi="宋体"/>
          <w:szCs w:val="21"/>
          <w:highlight w:val="none"/>
        </w:rPr>
        <w:t xml:space="preserve">合同日期：</w:t>
      </w:r>
      <w:r>
        <w:rPr>
          <w:rFonts w:hint="eastAsia" w:ascii="宋体" w:hAnsi="宋体"/>
          <w:szCs w:val="21"/>
          <w:highlight w:val="none"/>
          <w:u w:val="single"/>
        </w:rPr>
        <w:t xml:space="preserve">               </w:t>
      </w:r>
      <w:r>
        <w:rPr>
          <w:rFonts w:hint="eastAsia" w:ascii="宋体" w:hAnsi="宋体"/>
          <w:szCs w:val="21"/>
          <w:highlight w:val="none"/>
          <w:u w:val="none"/>
        </w:rPr>
        <w:t xml:space="preserve"> </w:t>
      </w:r>
      <w:r>
        <w:rPr>
          <w:rFonts w:hint="eastAsia" w:ascii="宋体" w:hAnsi="宋体"/>
          <w:szCs w:val="21"/>
          <w:highlight w:val="none"/>
          <w:u w:val="none"/>
          <w:lang w:eastAsia="zh-CN"/>
        </w:rPr>
        <w:t xml:space="preserve">。</w:t>
      </w:r>
      <w:r>
        <w:rPr>
          <w:rFonts w:hint="eastAsia" w:ascii="宋体" w:hAnsi="宋体"/>
          <w:szCs w:val="21"/>
          <w:highlight w:val="none"/>
        </w:rPr>
        <w:t xml:space="preserve">承包人应制定施工方案和作业进度计划，报送发包人审核。承包人应根据发包人同意的施工方案和作业进度计划施工，如遇突击抢修项目，承包人应在规定时间赶赴现场并做好应急抢修工作，确保道路安全畅通。</w:t>
      </w:r>
      <w:r>
        <w:rPr>
          <w:rFonts w:hint="eastAsia" w:ascii="宋体" w:hAnsi="宋体"/>
          <w:highlight w:val="none"/>
        </w:rPr>
        <w:t xml:space="preserve">因承包人原因导致工期延误而造成的费用增加以及其他损失，由承包人自行承担，发包人概不负责。工期延误超过</w:t>
      </w:r>
      <w:r>
        <w:rPr>
          <w:rFonts w:hint="eastAsia" w:ascii="宋体" w:hAnsi="宋体"/>
          <w:highlight w:val="none"/>
          <w:u w:val="single"/>
        </w:rPr>
        <w:t xml:space="preserve"> 30 </w:t>
      </w:r>
      <w:r>
        <w:rPr>
          <w:rFonts w:hint="eastAsia" w:ascii="宋体" w:hAnsi="宋体"/>
          <w:highlight w:val="none"/>
        </w:rPr>
        <w:t xml:space="preserve">天，发包人有权解除本合同。</w:t>
      </w:r>
      <w:r>
        <w:rPr>
          <w:rFonts w:hint="eastAsia" w:ascii="宋体" w:hAnsi="宋体"/>
          <w:highlight w:val="none"/>
        </w:rPr>
      </w:r>
      <w:r/>
    </w:p>
    <w:p>
      <w:pPr>
        <w:pStyle w:val="982"/>
        <w:ind w:firstLine="422"/>
        <w:spacing w:line="440" w:lineRule="exact"/>
        <w:rPr>
          <w:rFonts w:hint="eastAsia" w:ascii="宋体" w:hAnsi="宋体"/>
          <w:highlight w:val="none"/>
          <w:lang w:eastAsia="zh-CN"/>
        </w:rPr>
      </w:pPr>
      <w:r>
        <w:rPr>
          <w:rFonts w:hint="eastAsia" w:ascii="宋体" w:hAnsi="宋体"/>
          <w:b/>
          <w:szCs w:val="21"/>
          <w:highlight w:val="none"/>
        </w:rPr>
        <w:t xml:space="preserve">在本工程维护期限内，承包人保证对发生应急抢修等情况，能按发包人要求及时到达现场，进行修补或维护。确保道路通行正常。直接影响安全或功能丧失的维护（控制）响应时间不得超过60分钟，物理状态或一般功能缺陷维护响应时间不得超过48小时，轻微物理或功能缺陷维护响应时间不得超过10个工作日。不能满足该时效要求的，按承包人违约处理，发现一次，处以2000元的处罚，且不免除承包人对缺陷维修的责任。</w:t>
      </w:r>
      <w:r>
        <w:rPr>
          <w:rFonts w:hint="eastAsia" w:ascii="宋体" w:hAnsi="宋体"/>
          <w:highlight w:val="none"/>
          <w:lang w:eastAsia="zh-CN"/>
        </w:rPr>
      </w:r>
      <w:r/>
    </w:p>
    <w:p>
      <w:pPr>
        <w:pStyle w:val="982"/>
        <w:ind w:firstLine="420"/>
        <w:spacing w:line="440" w:lineRule="exact"/>
        <w:rPr>
          <w:rFonts w:ascii="宋体" w:hAnsi="宋体"/>
          <w:szCs w:val="21"/>
          <w:highlight w:val="none"/>
        </w:rPr>
      </w:pPr>
      <w:r>
        <w:rPr>
          <w:rFonts w:hint="eastAsia" w:ascii="宋体" w:hAnsi="宋体"/>
          <w:szCs w:val="21"/>
          <w:highlight w:val="none"/>
          <w:lang w:val="en-US" w:eastAsia="zh-CN"/>
        </w:rPr>
        <w:t xml:space="preserve">七</w:t>
      </w:r>
      <w:r>
        <w:rPr>
          <w:rFonts w:hint="eastAsia" w:ascii="宋体" w:hAnsi="宋体"/>
          <w:szCs w:val="21"/>
          <w:highlight w:val="none"/>
        </w:rPr>
        <w:t xml:space="preserve">、质量管理：</w:t>
      </w:r>
      <w:r>
        <w:rPr>
          <w:rFonts w:ascii="宋体" w:hAnsi="宋体"/>
          <w:szCs w:val="21"/>
          <w:highlight w:val="none"/>
        </w:rPr>
      </w:r>
      <w:r/>
    </w:p>
    <w:p>
      <w:pPr>
        <w:pStyle w:val="982"/>
        <w:ind w:left="1" w:firstLine="420"/>
        <w:spacing w:line="440" w:lineRule="exact"/>
        <w:rPr>
          <w:rFonts w:ascii="宋体" w:hAnsi="宋体"/>
          <w:szCs w:val="21"/>
          <w:highlight w:val="none"/>
        </w:rPr>
      </w:pPr>
      <w:r>
        <w:rPr>
          <w:rFonts w:hint="eastAsia" w:ascii="宋体" w:hAnsi="宋体"/>
          <w:szCs w:val="21"/>
          <w:highlight w:val="none"/>
        </w:rPr>
        <w:t xml:space="preserve">1、质量监督由发包人指派监理单位负责，发包人进行不定期抽检，</w:t>
      </w:r>
      <w:r>
        <w:rPr>
          <w:rFonts w:hint="eastAsia" w:ascii="宋体" w:hAnsi="宋体" w:cs="宋体"/>
          <w:szCs w:val="21"/>
          <w:highlight w:val="none"/>
        </w:rPr>
        <w:t xml:space="preserve">工程</w:t>
      </w:r>
      <w:r>
        <w:rPr>
          <w:rFonts w:hint="eastAsia" w:ascii="宋体" w:hAnsi="宋体" w:cs="宋体"/>
          <w:szCs w:val="21"/>
          <w:highlight w:val="none"/>
          <w:lang w:val="en-US" w:eastAsia="zh-CN"/>
        </w:rPr>
        <w:t xml:space="preserve">按照</w:t>
      </w:r>
      <w:r>
        <w:rPr>
          <w:rFonts w:hint="eastAsia" w:ascii="宋体" w:hAnsi="宋体" w:cs="宋体"/>
          <w:szCs w:val="21"/>
          <w:highlight w:val="none"/>
        </w:rPr>
        <w:t xml:space="preserve">《公路交通设施日常维护管理考核管理办法》</w:t>
      </w:r>
      <w:r>
        <w:rPr>
          <w:rFonts w:hint="eastAsia" w:ascii="宋体" w:hAnsi="宋体" w:cs="宋体"/>
          <w:szCs w:val="21"/>
          <w:highlight w:val="none"/>
          <w:lang w:val="en-US" w:eastAsia="zh-CN"/>
        </w:rPr>
        <w:t xml:space="preserve">考核验收</w:t>
      </w:r>
      <w:r>
        <w:rPr>
          <w:rFonts w:hint="eastAsia" w:ascii="宋体" w:hAnsi="宋体" w:cs="宋体"/>
          <w:szCs w:val="21"/>
          <w:highlight w:val="none"/>
        </w:rPr>
        <w:t xml:space="preserve">。工程安全目标：</w:t>
      </w:r>
      <w:r>
        <w:rPr>
          <w:rFonts w:hint="eastAsia" w:ascii="宋体" w:hAnsi="宋体" w:cs="宋体"/>
          <w:szCs w:val="21"/>
          <w:highlight w:val="none"/>
          <w:u w:val="single"/>
        </w:rPr>
        <w:t xml:space="preserve">无安全责任事故</w:t>
      </w:r>
      <w:r>
        <w:rPr>
          <w:rFonts w:hint="eastAsia" w:ascii="宋体" w:hAnsi="宋体" w:cs="宋体"/>
          <w:szCs w:val="21"/>
          <w:highlight w:val="none"/>
        </w:rPr>
        <w:t xml:space="preserve">。</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2、承包人在施工中，应根据施工技术规范进行操作施工，分项工程应经过发包人人员验收后方可进入下一道工序。</w:t>
      </w:r>
      <w:r>
        <w:rPr>
          <w:rFonts w:ascii="宋体" w:hAnsi="宋体"/>
          <w:szCs w:val="21"/>
          <w:highlight w:val="none"/>
        </w:rPr>
      </w:r>
      <w:r/>
    </w:p>
    <w:p>
      <w:pPr>
        <w:pStyle w:val="982"/>
        <w:ind w:firstLine="420"/>
        <w:spacing w:line="44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、承包人工程完工，应向发包人报送签证，由发包人指派的监理单位出具监理报告后进行验收并完善工程资料。</w:t>
      </w:r>
      <w:r>
        <w:rPr>
          <w:rFonts w:hint="eastAsia" w:ascii="宋体" w:hAnsi="宋体"/>
          <w:color w:val="000000"/>
          <w:szCs w:val="21"/>
          <w:highlight w:val="none"/>
        </w:rPr>
      </w:r>
      <w:r/>
    </w:p>
    <w:p>
      <w:pPr>
        <w:pStyle w:val="982"/>
        <w:ind w:firstLine="420"/>
        <w:spacing w:line="44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八</w:t>
      </w:r>
      <w:r>
        <w:rPr>
          <w:rFonts w:hint="eastAsia" w:ascii="宋体" w:hAnsi="宋体" w:eastAsia="宋体" w:cs="Times New Roman"/>
          <w:color w:val="000000"/>
          <w:szCs w:val="21"/>
          <w:highlight w:val="none"/>
        </w:rPr>
        <w:t xml:space="preserve">、结算方式及工程价款拨付：</w:t>
      </w:r>
      <w:r>
        <w:rPr>
          <w:rFonts w:hint="eastAsia" w:ascii="宋体" w:hAnsi="宋体" w:eastAsia="宋体" w:cs="Times New Roman"/>
          <w:color w:val="000000"/>
          <w:szCs w:val="21"/>
          <w:highlight w:val="none"/>
        </w:rPr>
      </w:r>
      <w:r/>
    </w:p>
    <w:p>
      <w:pPr>
        <w:pStyle w:val="982"/>
        <w:ind w:firstLine="422"/>
        <w:spacing w:line="440" w:lineRule="exact"/>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（1）本工程实行项目单价和审计确认的实际工程量的乘积为最终决算数。</w:t>
      </w:r>
      <w:r>
        <w:rPr>
          <w:rFonts w:hint="eastAsia" w:ascii="宋体" w:hAnsi="宋体" w:eastAsia="宋体" w:cs="Times New Roman"/>
          <w:b/>
          <w:bCs/>
          <w:color w:val="000000"/>
          <w:szCs w:val="21"/>
          <w:highlight w:val="none"/>
        </w:rPr>
      </w:r>
      <w:r/>
    </w:p>
    <w:p>
      <w:pPr>
        <w:pStyle w:val="982"/>
        <w:ind w:firstLine="422"/>
        <w:spacing w:line="440" w:lineRule="exact"/>
        <w:rPr>
          <w:rFonts w:hint="eastAsia" w:ascii="宋体" w:hAnsi="宋体" w:eastAsia="宋体" w:cs="Times New Roman"/>
          <w:b/>
          <w:bCs/>
          <w:color w:val="000000"/>
          <w:szCs w:val="21"/>
          <w:highlight w:val="none"/>
          <w:lang w:eastAsia="zh-CN"/>
        </w:rPr>
      </w:pPr>
      <w:r>
        <w:rPr>
          <w:rFonts w:hint="eastAsia" w:ascii="宋体" w:hAnsi="宋体" w:eastAsia="宋体" w:cs="Times New Roman"/>
          <w:b/>
          <w:bCs/>
          <w:color w:val="000000"/>
          <w:szCs w:val="21"/>
          <w:highlight w:val="none"/>
        </w:rPr>
        <w:t xml:space="preserve">（</w:t>
      </w:r>
      <w:r>
        <w:rPr>
          <w:rFonts w:hint="eastAsia" w:ascii="宋体" w:hAnsi="宋体" w:eastAsia="宋体" w:cs="Times New Roman"/>
          <w:b/>
          <w:bCs/>
          <w:color w:val="000000"/>
          <w:szCs w:val="21"/>
          <w:highlight w:val="none"/>
          <w:lang w:val="en-US" w:eastAsia="zh-CN"/>
        </w:rPr>
        <w:t xml:space="preserve">2</w:t>
      </w:r>
      <w:r>
        <w:rPr>
          <w:rFonts w:hint="eastAsia" w:ascii="宋体" w:hAnsi="宋体" w:eastAsia="宋体" w:cs="Times New Roman"/>
          <w:b/>
          <w:bCs/>
          <w:color w:val="000000"/>
          <w:szCs w:val="21"/>
          <w:highlight w:val="none"/>
        </w:rPr>
        <w:t xml:space="preserve">）合同签订并在监理人发出开工令后，按</w:t>
      </w:r>
      <w:r>
        <w:rPr>
          <w:rFonts w:hint="eastAsia" w:ascii="宋体" w:hAnsi="宋体" w:eastAsia="宋体" w:cs="Times New Roman"/>
          <w:b/>
          <w:bCs/>
          <w:color w:val="000000"/>
          <w:szCs w:val="21"/>
          <w:highlight w:val="none"/>
          <w:lang w:val="en-US" w:eastAsia="zh-CN"/>
        </w:rPr>
        <w:t xml:space="preserve">10</w:t>
      </w:r>
      <w:r>
        <w:rPr>
          <w:rFonts w:hint="eastAsia" w:ascii="宋体" w:hAnsi="宋体" w:eastAsia="宋体" w:cs="Times New Roman"/>
          <w:b/>
          <w:bCs/>
          <w:color w:val="000000"/>
          <w:szCs w:val="21"/>
          <w:highlight w:val="none"/>
        </w:rPr>
        <w:t xml:space="preserve">%的签约合同价支付开工预付款</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eastAsia="zh-CN"/>
        </w:rPr>
      </w:r>
      <w:r/>
    </w:p>
    <w:p>
      <w:pPr>
        <w:pStyle w:val="982"/>
        <w:ind w:firstLine="422"/>
        <w:spacing w:line="440" w:lineRule="exact"/>
        <w:rPr>
          <w:rFonts w:hint="eastAsia" w:ascii="宋体" w:hAnsi="宋体" w:eastAsia="宋体" w:cs="Times New Roman"/>
          <w:b/>
          <w:bCs/>
          <w:color w:val="0000ff"/>
          <w:szCs w:val="21"/>
          <w:highlight w:val="none"/>
        </w:rPr>
      </w:pPr>
      <w:r>
        <w:rPr>
          <w:rFonts w:hint="eastAsia" w:ascii="宋体" w:hAnsi="宋体" w:eastAsia="宋体" w:cs="Times New Roman"/>
          <w:b/>
          <w:bCs/>
          <w:color w:val="000000"/>
          <w:szCs w:val="21"/>
          <w:highlight w:val="none"/>
        </w:rPr>
        <w:t xml:space="preserve">（</w:t>
      </w:r>
      <w:r>
        <w:rPr>
          <w:rFonts w:hint="eastAsia" w:ascii="宋体" w:hAnsi="宋体" w:eastAsia="宋体" w:cs="Times New Roman"/>
          <w:b/>
          <w:bCs/>
          <w:color w:val="000000"/>
          <w:szCs w:val="21"/>
          <w:highlight w:val="none"/>
          <w:lang w:val="en-US" w:eastAsia="zh-CN"/>
        </w:rPr>
        <w:t xml:space="preserve">3</w:t>
      </w:r>
      <w:r>
        <w:rPr>
          <w:rFonts w:hint="eastAsia" w:ascii="宋体" w:hAnsi="宋体" w:eastAsia="宋体" w:cs="Times New Roman"/>
          <w:b/>
          <w:bCs/>
          <w:color w:val="000000"/>
          <w:szCs w:val="21"/>
          <w:highlight w:val="none"/>
        </w:rPr>
        <w:t xml:space="preserve">）项目按月计</w:t>
      </w:r>
      <w:r>
        <w:rPr>
          <w:rFonts w:hint="eastAsia" w:ascii="宋体" w:hAnsi="宋体" w:eastAsia="宋体" w:cs="Times New Roman"/>
          <w:b/>
          <w:bCs/>
          <w:color w:val="000000"/>
          <w:szCs w:val="21"/>
          <w:highlight w:val="none"/>
          <w:lang w:val="en-US" w:eastAsia="zh-CN"/>
        </w:rPr>
        <w:t xml:space="preserve">量</w:t>
      </w:r>
      <w:r>
        <w:rPr>
          <w:rFonts w:hint="eastAsia" w:ascii="宋体" w:hAnsi="宋体" w:eastAsia="宋体" w:cs="Times New Roman"/>
          <w:b/>
          <w:bCs/>
          <w:color w:val="000000"/>
          <w:szCs w:val="21"/>
          <w:highlight w:val="none"/>
        </w:rPr>
        <w:t xml:space="preserve">，当年年底</w:t>
      </w:r>
      <w:r>
        <w:rPr>
          <w:rFonts w:hint="eastAsia" w:ascii="宋体" w:hAnsi="宋体" w:eastAsia="宋体" w:cs="Times New Roman"/>
          <w:b/>
          <w:bCs/>
          <w:color w:val="000000"/>
          <w:szCs w:val="21"/>
          <w:highlight w:val="none"/>
          <w:lang w:val="en-US" w:eastAsia="zh-CN"/>
        </w:rPr>
        <w:t xml:space="preserve">完工</w:t>
      </w:r>
      <w:r>
        <w:rPr>
          <w:rFonts w:hint="eastAsia" w:ascii="宋体" w:hAnsi="宋体" w:eastAsia="宋体" w:cs="Times New Roman"/>
          <w:b/>
          <w:bCs/>
          <w:color w:val="000000"/>
          <w:szCs w:val="21"/>
          <w:highlight w:val="none"/>
        </w:rPr>
        <w:t xml:space="preserve">后支付至工程计</w:t>
      </w:r>
      <w:r>
        <w:rPr>
          <w:rFonts w:hint="eastAsia" w:ascii="宋体" w:hAnsi="宋体" w:eastAsia="宋体" w:cs="Times New Roman"/>
          <w:b/>
          <w:bCs/>
          <w:color w:val="000000"/>
          <w:szCs w:val="21"/>
          <w:highlight w:val="none"/>
          <w:lang w:val="en-US" w:eastAsia="zh-CN"/>
        </w:rPr>
        <w:t xml:space="preserve">量</w:t>
      </w:r>
      <w:r>
        <w:rPr>
          <w:rFonts w:hint="eastAsia" w:ascii="宋体" w:hAnsi="宋体" w:eastAsia="宋体" w:cs="Times New Roman"/>
          <w:b/>
          <w:bCs/>
          <w:color w:val="000000"/>
          <w:szCs w:val="21"/>
          <w:highlight w:val="none"/>
        </w:rPr>
        <w:t xml:space="preserve">款的97%</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同时一次性</w:t>
      </w:r>
      <w:r>
        <w:rPr>
          <w:rFonts w:hint="eastAsia" w:ascii="宋体" w:hAnsi="宋体" w:eastAsia="宋体" w:cs="Times New Roman"/>
          <w:b/>
          <w:bCs/>
          <w:color w:val="000000"/>
          <w:szCs w:val="21"/>
          <w:highlight w:val="none"/>
        </w:rPr>
        <w:t xml:space="preserve">扣回预付款</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rPr>
        <w:t xml:space="preserve">，审计结束后结清当年余款(不计利息)。</w:t>
      </w:r>
      <w:r>
        <w:rPr>
          <w:rFonts w:hint="eastAsia" w:ascii="宋体" w:hAnsi="宋体" w:eastAsia="宋体" w:cs="Times New Roman"/>
          <w:b/>
          <w:bCs/>
          <w:color w:val="0000ff"/>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九、</w:t>
      </w:r>
      <w:r>
        <w:rPr>
          <w:rFonts w:hint="eastAsia" w:ascii="宋体" w:hAnsi="宋体" w:eastAsia="宋体" w:cs="Times New Roman"/>
          <w:szCs w:val="21"/>
          <w:highlight w:val="none"/>
        </w:rPr>
        <w:t xml:space="preserve">安全生产措施</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安全生产工作应当以人为本，坚持人民至上、生命至上，把保护人民生命安全摆在首位，树牢安全发展理念，坚持安全第一、预防为主、综合治理的方针，从源头上防范化解重大安全风险。</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承包人应当具备的安全生产条件所必需的资金投入，由承包人的决策机构、主要负责人或者个人经营的投资人予以保证，并对由于安全生产所必需的资金投入不足导致的后果承担责任。</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承包人必须依法参加工伤保险，为从业人员缴纳保险费。</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国家鼓励生产经营单位投保安全生产责任保险；属于国家规定的高危行业、领域的生产经营单位，应当投保安全生产责任保险。</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承包人应采取必要的安全措施，并应保障委托人免于承担由此导致的一切诉讼、争执、索赔、罚款。同时应对由于自己或其代理人的过错包括侵犯版权或发明权而给委托人或任何第三方造成的损失负赔偿责任。</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承包人应严格遵守《中华人民共和国安全生产法》、《建设工程安全生产管理条例》、《江苏</w:t>
      </w:r>
      <w:r>
        <w:rPr>
          <w:rFonts w:hint="eastAsia" w:ascii="宋体" w:hAnsi="宋体" w:eastAsia="宋体" w:cs="Times New Roman"/>
          <w:szCs w:val="21"/>
          <w:highlight w:val="none"/>
        </w:rPr>
        <w:t xml:space="preserve">省安全生产条例》、《公路水运工程安全生产监督管理办法》、《江苏省公路水运建设工程安全监管规定》、《江苏省交通建设工程质量和安全生产监督管理条例》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在现场工作时，承包人应遵守政府有关部门、委托人及有关单位安全保卫制度，并对其人员的安全负责，承包人应对由于自己或其代理人的过错包括侵犯版权或发明权而给委托人或任何第三方造成的损失负赔偿责任。在作业现场，承包人应采取必要的安全措施，并应保障委托人免于承担由此导致的一切诉讼、争执、索赔、罚款。</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工程质量事故的调查处理，生产安全事故的应急救援和调查处理，按照国家有关规定执行。</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十、环</w:t>
      </w:r>
      <w:r>
        <w:rPr>
          <w:rFonts w:hint="eastAsia" w:ascii="宋体" w:hAnsi="宋体" w:eastAsia="宋体" w:cs="Times New Roman"/>
          <w:szCs w:val="21"/>
          <w:highlight w:val="none"/>
        </w:rPr>
        <w:t xml:space="preserve">境保护</w:t>
      </w:r>
      <w:r>
        <w:rPr>
          <w:rFonts w:hint="eastAsia" w:ascii="宋体" w:hAnsi="宋体" w:eastAsia="宋体" w:cs="Times New Roman"/>
          <w:szCs w:val="21"/>
          <w:highlight w:val="none"/>
          <w:lang w:val="en-US" w:eastAsia="zh-CN"/>
        </w:rPr>
        <w:t xml:space="preserve">及</w:t>
      </w:r>
      <w:r>
        <w:rPr>
          <w:rFonts w:hint="eastAsia" w:ascii="宋体" w:hAnsi="宋体" w:eastAsia="宋体" w:cs="Times New Roman"/>
          <w:szCs w:val="21"/>
          <w:highlight w:val="none"/>
        </w:rPr>
        <w:t xml:space="preserve">文明施工</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承包人应切实执行</w:t>
      </w:r>
      <w:r>
        <w:rPr>
          <w:rFonts w:hint="eastAsia" w:ascii="宋体" w:hAnsi="宋体" w:eastAsia="宋体" w:cs="Times New Roman"/>
          <w:szCs w:val="21"/>
          <w:highlight w:val="none"/>
          <w:lang w:val="en-US" w:eastAsia="zh-CN"/>
        </w:rPr>
        <w:t xml:space="preserve">采购需求及设计图纸</w:t>
      </w:r>
      <w:r>
        <w:rPr>
          <w:rFonts w:hint="eastAsia" w:ascii="宋体" w:hAnsi="宋体" w:eastAsia="宋体" w:cs="Times New Roman"/>
          <w:szCs w:val="21"/>
          <w:highlight w:val="none"/>
        </w:rPr>
        <w:t xml:space="preserve">中有关环境保护方面的条款和规定。</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（2）采取可靠措施保证原有交通的正常通行，维持沿线村镇的居民饮水、农田灌溉、生产生活用电及通讯等管线的正常使用。</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hint="eastAsia" w:ascii="宋体" w:hAnsi="宋体" w:eastAsia="宋体" w:cs="Times New Roman"/>
          <w:szCs w:val="21"/>
          <w:highlight w:val="none"/>
        </w:rPr>
      </w:r>
      <w:r/>
    </w:p>
    <w:p>
      <w:pPr>
        <w:pStyle w:val="982"/>
        <w:numPr>
          <w:ilvl w:val="0"/>
          <w:numId w:val="5"/>
        </w:numPr>
        <w:ind w:firstLine="420"/>
        <w:spacing w:line="440" w:lineRule="exact"/>
        <w:rPr>
          <w:rFonts w:hint="eastAsia" w:ascii="宋体" w:hAnsi="宋体"/>
          <w:szCs w:val="21"/>
          <w:highlight w:val="none"/>
        </w:rPr>
      </w:pPr>
      <w:r>
        <w:rPr>
          <w:rFonts w:hint="eastAsia" w:ascii="宋体" w:hAnsi="宋体"/>
          <w:szCs w:val="21"/>
          <w:highlight w:val="none"/>
        </w:rPr>
        <w:t xml:space="preserve">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highlight w:val="none"/>
        </w:rPr>
      </w:r>
      <w:r/>
    </w:p>
    <w:p>
      <w:pPr>
        <w:pStyle w:val="982"/>
        <w:numPr>
          <w:ilvl w:val="0"/>
          <w:numId w:val="5"/>
        </w:numPr>
        <w:ind w:firstLine="420"/>
        <w:spacing w:line="440" w:lineRule="exact"/>
        <w:rPr>
          <w:rFonts w:hint="eastAsia" w:ascii="宋体" w:hAnsi="宋体"/>
          <w:szCs w:val="21"/>
          <w:highlight w:val="none"/>
        </w:rPr>
      </w:pPr>
      <w:r>
        <w:rPr>
          <w:rFonts w:hint="eastAsia" w:ascii="宋体" w:hAnsi="宋体"/>
          <w:szCs w:val="21"/>
          <w:highlight w:val="none"/>
        </w:rPr>
        <w:t xml:space="preserve">在施工期间，承包人应随时保持现场整洁，施工设备和材料、工程设备应整齐妥善存放和储存，废料与垃圾及不再需要的临时设施应及时从现场清除、拆除并运走。</w:t>
      </w:r>
      <w:r>
        <w:rPr>
          <w:rFonts w:hint="eastAsia" w:ascii="宋体" w:hAnsi="宋体"/>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文明施工</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（1）施工现场应当做到围挡、大门、标牌标准化、材料码放整齐化（按照现场平面布置图确定的位置集中、整齐码放）、安全设施规范化、生活设施整洁化、职工行为文明化、工作生化秩序化。</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（2）施工要做到工完场清、施工不扰民、运输无遗撒、垃圾不乱弃，努力营造良好的施工作业环境。</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十一、</w:t>
      </w:r>
      <w:r>
        <w:rPr>
          <w:rFonts w:hint="eastAsia" w:ascii="宋体" w:hAnsi="宋体" w:eastAsia="宋体" w:cs="Times New Roman"/>
          <w:szCs w:val="21"/>
          <w:highlight w:val="none"/>
        </w:rPr>
        <w:t xml:space="preserve">承包人违约</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承包人违约的情形</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（1）承包人私自将合同的全部或部分权利转让给其他人，或私自将合同的全部或部分义务转移给其他人；</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（2）承包人未经监理人批准，私自将已按合同约定进入施工场地的施工设备、临时设施、材料或工程设备撤离施工场地；</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（3）承包人使用了不合格材料或工程设备，工程质量达不到标准，又拒绝清除不合格工程；</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（4）承包人未能按合同进度计划及时完成合同约定的工作，已造成或预期造成工期延误；</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）承包人无法继续履行或明确表示不履行或实质上已停止履行合同；</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）承包人未能按期开工；</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）承包人未按承诺或未按监理人的要求及时配备称职的主要管理人员、技术骨干或关键施工设备；</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）经监理人和发包人检查，发现承包人有安全问题或有违反安全管理规章制度的情况；</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）承包人不按合同约定履行义务的其他情况。</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对承包人违约的处理</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（1）承包人发生上述第（</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（6）目约定的违约情况时，发包人可通知承包人立即解除合同，并按有关法律处理。</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（2）承包人发生除上述第（</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（6）目约定以外的违约情况时，监理人可向承包人发出整改通知，要求其在指定的期限内改正。承包人应承担其违约 所引起的费用增加和工期延误。</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（3）经检查证明承包人已采取了有效措施纠正违约行为，具备复工条件的，可由监理人签发复工通知复工。</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（6）因承包人原因导致工期延误而造成的费用增加以及其他损失，由承包人自行承担，发包人概不负责。</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十二、</w:t>
      </w:r>
      <w:r>
        <w:rPr>
          <w:rFonts w:hint="eastAsia" w:ascii="宋体" w:hAnsi="宋体" w:eastAsia="宋体" w:cs="Times New Roman"/>
          <w:szCs w:val="21"/>
          <w:highlight w:val="none"/>
        </w:rPr>
        <w:t xml:space="preserve">因本合同引起的或与本合同有关的争议，双方协商解决，协商不成的双方同意提交常州仲裁委员会按其仲裁规则仲裁，裁决是终局的，对双方均具有约束力。</w:t>
      </w:r>
      <w:r>
        <w:rPr>
          <w:rFonts w:hint="eastAsia" w:ascii="宋体" w:hAnsi="宋体" w:eastAsia="宋体" w:cs="Times New Roman"/>
          <w:szCs w:val="21"/>
          <w:highlight w:val="none"/>
        </w:rPr>
      </w:r>
      <w:r/>
    </w:p>
    <w:p>
      <w:pPr>
        <w:pStyle w:val="982"/>
        <w:ind w:firstLine="420"/>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十三、</w:t>
      </w:r>
      <w:r>
        <w:rPr>
          <w:rFonts w:hint="eastAsia" w:ascii="宋体" w:hAnsi="宋体" w:eastAsia="宋体" w:cs="Times New Roman"/>
          <w:szCs w:val="21"/>
          <w:highlight w:val="none"/>
        </w:rPr>
        <w:t xml:space="preserve">本协议书一式</w:t>
      </w:r>
      <w:r>
        <w:rPr>
          <w:rFonts w:hint="eastAsia" w:ascii="宋体" w:hAnsi="宋体" w:eastAsia="宋体" w:cs="Times New Roman"/>
          <w:szCs w:val="21"/>
          <w:highlight w:val="none"/>
          <w:lang w:val="en-US" w:eastAsia="zh-CN"/>
        </w:rPr>
        <w:t xml:space="preserve">肆</w:t>
      </w:r>
      <w:r>
        <w:rPr>
          <w:rFonts w:hint="eastAsia" w:ascii="宋体" w:hAnsi="宋体" w:eastAsia="宋体" w:cs="Times New Roman"/>
          <w:szCs w:val="21"/>
          <w:highlight w:val="none"/>
        </w:rPr>
        <w:t xml:space="preserve">份，合同双方各执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rPr>
      </w:r>
      <w:r/>
    </w:p>
    <w:p>
      <w:pPr>
        <w:pStyle w:val="982"/>
        <w:ind w:firstLine="420"/>
        <w:spacing w:line="440" w:lineRule="exact"/>
        <w:rPr>
          <w:rFonts w:ascii="宋体" w:hAnsi="宋体"/>
          <w:highlight w:val="none"/>
        </w:rPr>
      </w:pPr>
      <w:r>
        <w:rPr>
          <w:rFonts w:hint="eastAsia" w:ascii="宋体" w:hAnsi="宋体" w:eastAsia="宋体" w:cs="Times New Roman"/>
          <w:szCs w:val="21"/>
          <w:highlight w:val="none"/>
          <w:lang w:val="en-US" w:eastAsia="zh-CN"/>
        </w:rPr>
        <w:t xml:space="preserve">十四、</w:t>
      </w:r>
      <w:r>
        <w:rPr>
          <w:rFonts w:hint="eastAsia" w:ascii="宋体" w:hAnsi="宋体" w:eastAsia="宋体" w:cs="Times New Roman"/>
          <w:szCs w:val="21"/>
          <w:highlight w:val="none"/>
        </w:rPr>
        <w:t xml:space="preserve">合同未尽事宜，双方另行签订补充协议。补充协议是合同的组成部分。</w:t>
      </w:r>
      <w:r>
        <w:rPr>
          <w:rFonts w:ascii="宋体" w:hAnsi="宋体"/>
          <w:highlight w:val="none"/>
        </w:rPr>
      </w:r>
      <w:r/>
    </w:p>
    <w:p>
      <w:pPr>
        <w:pStyle w:val="982"/>
        <w:spacing w:line="440" w:lineRule="exact"/>
        <w:rPr>
          <w:rFonts w:ascii="宋体" w:hAnsi="宋体"/>
          <w:highlight w:val="none"/>
        </w:rPr>
      </w:pPr>
      <w:r>
        <w:rPr>
          <w:rFonts w:ascii="宋体" w:hAnsi="宋体"/>
          <w:highlight w:val="none"/>
        </w:rPr>
      </w:r>
      <w:r/>
    </w:p>
    <w:p>
      <w:pPr>
        <w:pStyle w:val="982"/>
        <w:spacing w:line="440" w:lineRule="exact"/>
        <w:rPr>
          <w:rFonts w:ascii="宋体" w:hAnsi="宋体"/>
          <w:highlight w:val="none"/>
        </w:rPr>
      </w:pPr>
      <w:r>
        <w:rPr>
          <w:rFonts w:hint="eastAsia" w:ascii="宋体" w:hAnsi="宋体" w:cs="Microsoft JhengHei Light"/>
          <w:highlight w:val="none"/>
        </w:rPr>
        <w:t xml:space="preserve">发包人：</w:t>
      </w:r>
      <w:r>
        <w:rPr>
          <w:rFonts w:hint="eastAsia" w:ascii="宋体" w:hAnsi="宋体" w:cs="Microsoft JhengHei Light"/>
          <w:highlight w:val="none"/>
          <w:u w:val="single"/>
        </w:rPr>
        <w:t xml:space="preserve">常州市武进区公路事业发展中心</w:t>
      </w:r>
      <w:r>
        <w:rPr>
          <w:rFonts w:hint="eastAsia" w:ascii="宋体" w:hAnsi="宋体"/>
          <w:highlight w:val="none"/>
        </w:rPr>
        <w:t xml:space="preserve">(</w:t>
      </w:r>
      <w:r>
        <w:rPr>
          <w:rFonts w:hint="eastAsia" w:ascii="宋体" w:hAnsi="宋体" w:cs="Microsoft JhengHei Light"/>
          <w:highlight w:val="none"/>
        </w:rPr>
        <w:t xml:space="preserve">盖单位章</w:t>
      </w:r>
      <w:r>
        <w:rPr>
          <w:rFonts w:hint="eastAsia" w:ascii="宋体" w:hAnsi="宋体"/>
          <w:highlight w:val="none"/>
        </w:rPr>
        <w:t xml:space="preserve">) </w:t>
      </w:r>
      <w:r>
        <w:rPr>
          <w:rFonts w:hint="eastAsia" w:ascii="宋体" w:hAnsi="宋体" w:cs="Microsoft JhengHei Light"/>
          <w:highlight w:val="none"/>
        </w:rPr>
        <w:t xml:space="preserve">承包人：</w:t>
      </w:r>
      <w:r>
        <w:rPr>
          <w:rFonts w:hint="eastAsia" w:ascii="宋体" w:hAnsi="宋体" w:cs="Microsoft JhengHei Light"/>
          <w:highlight w:val="none"/>
          <w:u w:val="single"/>
        </w:rPr>
        <w:t xml:space="preserve">                    </w:t>
      </w:r>
      <w:r>
        <w:rPr>
          <w:rFonts w:hint="eastAsia" w:ascii="宋体" w:hAnsi="宋体" w:cs="Microsoft JhengHei Light"/>
          <w:highlight w:val="none"/>
          <w:u w:val="single"/>
        </w:rPr>
        <w:tab/>
      </w:r>
      <w:r>
        <w:rPr>
          <w:rFonts w:hint="eastAsia" w:ascii="宋体" w:hAnsi="宋体"/>
          <w:highlight w:val="none"/>
        </w:rPr>
        <w:t xml:space="preserve">(</w:t>
      </w:r>
      <w:r>
        <w:rPr>
          <w:rFonts w:hint="eastAsia" w:ascii="宋体" w:hAnsi="宋体" w:cs="Microsoft JhengHei Light"/>
          <w:highlight w:val="none"/>
        </w:rPr>
        <w:t xml:space="preserve">盖单位章</w:t>
      </w:r>
      <w:r>
        <w:rPr>
          <w:rFonts w:hint="eastAsia" w:ascii="宋体" w:hAnsi="宋体"/>
          <w:highlight w:val="none"/>
        </w:rPr>
        <w:t xml:space="preserve">)</w:t>
      </w:r>
      <w:r>
        <w:rPr>
          <w:rFonts w:ascii="宋体" w:hAnsi="宋体"/>
          <w:highlight w:val="none"/>
        </w:rPr>
      </w:r>
      <w:r/>
    </w:p>
    <w:p>
      <w:pPr>
        <w:pStyle w:val="982"/>
        <w:spacing w:line="440" w:lineRule="exact"/>
        <w:rPr>
          <w:rFonts w:ascii="宋体" w:hAnsi="宋体"/>
          <w:highlight w:val="none"/>
        </w:rPr>
      </w:pPr>
      <w:r>
        <w:rPr>
          <w:rFonts w:hint="eastAsia" w:ascii="宋体" w:hAnsi="宋体" w:cs="Microsoft JhengHei Light"/>
          <w:highlight w:val="none"/>
        </w:rPr>
        <w:t xml:space="preserve">法定代表人                                     法定代表人</w:t>
      </w:r>
      <w:r>
        <w:rPr>
          <w:rFonts w:ascii="宋体" w:hAnsi="宋体"/>
          <w:highlight w:val="none"/>
        </w:rPr>
      </w:r>
      <w:r/>
    </w:p>
    <w:p>
      <w:pPr>
        <w:pStyle w:val="982"/>
        <w:spacing w:line="440" w:lineRule="exact"/>
        <w:rPr>
          <w:rFonts w:ascii="宋体" w:hAnsi="宋体"/>
          <w:highlight w:val="none"/>
        </w:rPr>
      </w:pPr>
      <w:r>
        <w:rPr>
          <w:rFonts w:hint="eastAsia" w:ascii="宋体" w:hAnsi="宋体" w:cs="Microsoft JhengHei Light"/>
          <w:highlight w:val="none"/>
        </w:rPr>
        <w:t xml:space="preserve">或其委托代理人</w:t>
      </w:r>
      <w:r>
        <w:rPr>
          <w:rFonts w:hint="eastAsia" w:ascii="宋体" w:hAnsi="宋体" w:cs="Microsoft JhengHei Light"/>
          <w:spacing w:val="-23"/>
          <w:highlight w:val="none"/>
        </w:rPr>
        <w:t xml:space="preserve">：</w:t>
      </w:r>
      <w:r>
        <w:rPr>
          <w:rFonts w:hint="eastAsia" w:ascii="宋体" w:hAnsi="宋体"/>
          <w:highlight w:val="none"/>
          <w:u w:val="single"/>
        </w:rPr>
        <w:t xml:space="preserve">                 </w:t>
      </w:r>
      <w:r>
        <w:rPr>
          <w:rFonts w:hint="eastAsia" w:ascii="宋体" w:hAnsi="宋体"/>
          <w:highlight w:val="none"/>
          <w:u w:val="single"/>
        </w:rPr>
        <w:tab/>
      </w:r>
      <w:r>
        <w:rPr>
          <w:rFonts w:hint="eastAsia" w:ascii="宋体" w:hAnsi="宋体"/>
          <w:highlight w:val="none"/>
        </w:rPr>
        <w:t xml:space="preserve">(</w:t>
      </w:r>
      <w:r>
        <w:rPr>
          <w:rFonts w:hint="eastAsia" w:ascii="宋体" w:hAnsi="宋体" w:cs="Microsoft JhengHei Light"/>
          <w:highlight w:val="none"/>
        </w:rPr>
        <w:t xml:space="preserve">签字</w:t>
      </w:r>
      <w:r>
        <w:rPr>
          <w:rFonts w:hint="eastAsia" w:ascii="宋体" w:hAnsi="宋体"/>
          <w:highlight w:val="none"/>
        </w:rPr>
        <w:t xml:space="preserve">)     </w:t>
      </w:r>
      <w:r>
        <w:rPr>
          <w:rFonts w:hint="eastAsia" w:ascii="宋体" w:hAnsi="宋体" w:cs="Microsoft JhengHei Light"/>
          <w:highlight w:val="none"/>
        </w:rPr>
        <w:t xml:space="preserve">或其委托代理人</w:t>
      </w:r>
      <w:r>
        <w:rPr>
          <w:rFonts w:hint="eastAsia" w:ascii="宋体" w:hAnsi="宋体" w:cs="Microsoft JhengHei Light"/>
          <w:spacing w:val="-23"/>
          <w:highlight w:val="none"/>
        </w:rPr>
        <w:t xml:space="preserve">：</w:t>
      </w:r>
      <w:r>
        <w:rPr>
          <w:rFonts w:hint="eastAsia" w:ascii="宋体" w:hAnsi="宋体"/>
          <w:highlight w:val="none"/>
          <w:u w:val="single"/>
        </w:rPr>
        <w:t xml:space="preserve">              </w:t>
      </w:r>
      <w:r>
        <w:rPr>
          <w:rFonts w:hint="eastAsia" w:ascii="宋体" w:hAnsi="宋体"/>
          <w:highlight w:val="none"/>
          <w:u w:val="single"/>
        </w:rPr>
        <w:tab/>
      </w:r>
      <w:r>
        <w:rPr>
          <w:rFonts w:hint="eastAsia" w:ascii="宋体" w:hAnsi="宋体"/>
          <w:highlight w:val="none"/>
        </w:rPr>
        <w:t xml:space="preserve">(</w:t>
      </w:r>
      <w:r>
        <w:rPr>
          <w:rFonts w:hint="eastAsia" w:ascii="宋体" w:hAnsi="宋体" w:cs="Microsoft JhengHei Light"/>
          <w:highlight w:val="none"/>
        </w:rPr>
        <w:t xml:space="preserve">签字</w:t>
      </w:r>
      <w:r>
        <w:rPr>
          <w:rFonts w:hint="eastAsia" w:ascii="宋体" w:hAnsi="宋体"/>
          <w:highlight w:val="none"/>
        </w:rPr>
        <w:t xml:space="preserve">)</w:t>
      </w:r>
      <w:r>
        <w:rPr>
          <w:rFonts w:ascii="宋体" w:hAnsi="宋体"/>
          <w:highlight w:val="none"/>
        </w:rPr>
      </w:r>
      <w:r/>
    </w:p>
    <w:p>
      <w:pPr>
        <w:pStyle w:val="982"/>
        <w:spacing w:line="440" w:lineRule="exact"/>
        <w:rPr>
          <w:rFonts w:ascii="宋体" w:hAnsi="宋体"/>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                          </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rPr>
          <w:rFonts w:ascii="宋体" w:hAnsi="宋体"/>
          <w:highlight w:val="none"/>
        </w:rPr>
      </w:r>
      <w:r/>
    </w:p>
    <w:p>
      <w:pPr>
        <w:pStyle w:val="982"/>
        <w:spacing w:before="8" w:line="360" w:lineRule="auto"/>
        <w:rPr>
          <w:rFonts w:ascii="宋体" w:hAnsi="宋体"/>
          <w:highlight w:val="none"/>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highlight w:val="none"/>
        </w:rPr>
      </w:r>
      <w:r/>
    </w:p>
    <w:p>
      <w:pPr>
        <w:pStyle w:val="982"/>
        <w:rPr>
          <w:b/>
          <w:bCs/>
          <w:sz w:val="28"/>
          <w:szCs w:val="28"/>
          <w:highlight w:val="none"/>
        </w:rPr>
      </w:pPr>
      <w:r>
        <w:rPr>
          <w:rFonts w:hint="eastAsia"/>
          <w:b/>
          <w:bCs/>
          <w:sz w:val="28"/>
          <w:szCs w:val="28"/>
          <w:highlight w:val="none"/>
        </w:rPr>
        <w:t xml:space="preserve">附件一</w:t>
      </w:r>
      <w:r>
        <w:rPr>
          <w:b/>
          <w:bCs/>
          <w:sz w:val="28"/>
          <w:szCs w:val="28"/>
          <w:highlight w:val="none"/>
        </w:rPr>
      </w:r>
      <w:r/>
    </w:p>
    <w:p>
      <w:pPr>
        <w:pStyle w:val="982"/>
        <w:jc w:val="center"/>
        <w:spacing w:line="0" w:lineRule="atLeast"/>
        <w:rPr>
          <w:rFonts w:ascii="宋体" w:hAnsi="宋体" w:cs="MingLiU"/>
          <w:b/>
          <w:sz w:val="28"/>
          <w:szCs w:val="28"/>
          <w:highlight w:val="none"/>
        </w:rPr>
        <w:outlineLvl w:val="3"/>
      </w:pPr>
      <w:r>
        <w:rPr>
          <w:rFonts w:hint="eastAsia" w:ascii="宋体" w:hAnsi="宋体" w:cs="MingLiU"/>
          <w:b/>
          <w:sz w:val="28"/>
          <w:szCs w:val="28"/>
          <w:highlight w:val="none"/>
        </w:rPr>
        <w:t xml:space="preserve">安全生产合同</w:t>
      </w:r>
      <w:r>
        <w:rPr>
          <w:rFonts w:ascii="宋体" w:hAnsi="宋体" w:cs="MingLiU"/>
          <w:b/>
          <w:sz w:val="28"/>
          <w:szCs w:val="28"/>
          <w:highlight w:val="none"/>
        </w:rPr>
      </w:r>
      <w:r/>
    </w:p>
    <w:p>
      <w:pPr>
        <w:pStyle w:val="982"/>
        <w:jc w:val="center"/>
        <w:spacing w:line="0" w:lineRule="atLeast"/>
        <w:rPr>
          <w:rFonts w:ascii="宋体" w:hAnsi="宋体" w:cs="MingLiU"/>
          <w:b/>
          <w:sz w:val="28"/>
          <w:szCs w:val="28"/>
          <w:highlight w:val="none"/>
        </w:rPr>
        <w:outlineLvl w:val="3"/>
      </w:pPr>
      <w:r>
        <w:rPr>
          <w:rFonts w:ascii="宋体" w:hAnsi="宋体" w:cs="MingLiU"/>
          <w:b/>
          <w:sz w:val="28"/>
          <w:szCs w:val="28"/>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为在</w:t>
      </w:r>
      <w:r>
        <w:rPr>
          <w:rFonts w:hint="eastAsia" w:ascii="宋体" w:hAnsi="宋体"/>
          <w:bCs/>
          <w:szCs w:val="21"/>
          <w:highlight w:val="none"/>
          <w:u w:val="single"/>
          <w:lang w:eastAsia="zh-CN"/>
        </w:rPr>
        <w:t xml:space="preserve">2026-2027年度武进区农村公路安保设施养护及应急保障项目</w:t>
      </w:r>
      <w:r>
        <w:rPr>
          <w:rFonts w:hint="eastAsia" w:ascii="宋体" w:hAnsi="宋体"/>
          <w:szCs w:val="21"/>
          <w:highlight w:val="none"/>
        </w:rPr>
        <w:t xml:space="preserve">施工合同的实施过程中创造安全、高效的施工环境，切实搞好本合同段的安全管理工作，本合同段发包人</w:t>
      </w:r>
      <w:r>
        <w:rPr>
          <w:rFonts w:hint="eastAsia" w:ascii="宋体" w:hAnsi="宋体"/>
          <w:szCs w:val="21"/>
          <w:highlight w:val="none"/>
          <w:u w:val="single"/>
        </w:rPr>
        <w:t xml:space="preserve"> 常州市武进区公路事业发展中心 </w:t>
      </w:r>
      <w:r>
        <w:rPr>
          <w:rFonts w:hint="eastAsia" w:ascii="宋体" w:hAnsi="宋体"/>
          <w:szCs w:val="21"/>
          <w:highlight w:val="none"/>
        </w:rPr>
        <w:t xml:space="preserve">（以下简称“发包人”）与承包人</w:t>
      </w:r>
      <w:r>
        <w:rPr>
          <w:szCs w:val="21"/>
          <w:highlight w:val="none"/>
          <w:u w:val="single"/>
        </w:rPr>
        <w:t xml:space="preserve">              </w:t>
      </w:r>
      <w:r>
        <w:rPr>
          <w:rFonts w:hint="eastAsia" w:ascii="宋体" w:hAnsi="宋体"/>
          <w:szCs w:val="21"/>
          <w:highlight w:val="none"/>
        </w:rPr>
        <w:t xml:space="preserve">（以下简称“承包人”）特此签订安全生产合同：</w:t>
      </w:r>
      <w:r>
        <w:rPr>
          <w:rFonts w:ascii="宋体" w:hAnsi="宋体"/>
          <w:szCs w:val="21"/>
          <w:highlight w:val="none"/>
        </w:rPr>
      </w:r>
      <w:r/>
    </w:p>
    <w:p>
      <w:pPr>
        <w:pStyle w:val="982"/>
        <w:ind w:firstLine="422"/>
        <w:spacing w:line="440" w:lineRule="exact"/>
        <w:rPr>
          <w:rFonts w:ascii="宋体" w:hAnsi="宋体"/>
          <w:b/>
          <w:szCs w:val="21"/>
          <w:highlight w:val="none"/>
        </w:rPr>
      </w:pPr>
      <w:r>
        <w:rPr>
          <w:rFonts w:hint="eastAsia" w:ascii="宋体" w:hAnsi="宋体"/>
          <w:b/>
          <w:szCs w:val="21"/>
          <w:highlight w:val="none"/>
        </w:rPr>
        <w:t xml:space="preserve">一、发包人职责</w:t>
      </w:r>
      <w:r>
        <w:rPr>
          <w:rFonts w:ascii="宋体" w:hAnsi="宋体"/>
          <w:b/>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1．严格遵守国家有关安全生产的法律法规，认真执行工程承包合同中的有关安全要求。</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2．按照“安全第一、预防为主、综合治理”和坚持“管生产必须管安全”的原则进行安全生产管理，做到生产与安全工作同时计划、布置、检查、总结和评比。</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3．重要的安全设施必须坚持与主体工程“三同时”的原则，即：同时设计、审批，同时施工，同时验收，投入使用。</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4．定期召开安全生产调度会，及时传达中央及地方有关安全生产的精神。</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5．组织对承包人施工现场安全生产检查，监督承包人及时处理发现的各项安全隐患。</w:t>
      </w:r>
      <w:r>
        <w:rPr>
          <w:rFonts w:ascii="宋体" w:hAnsi="宋体"/>
          <w:szCs w:val="21"/>
          <w:highlight w:val="none"/>
        </w:rPr>
      </w:r>
      <w:r/>
    </w:p>
    <w:p>
      <w:pPr>
        <w:pStyle w:val="982"/>
        <w:ind w:firstLine="422"/>
        <w:spacing w:line="440" w:lineRule="exact"/>
        <w:rPr>
          <w:rFonts w:ascii="宋体" w:hAnsi="宋体"/>
          <w:b/>
          <w:szCs w:val="21"/>
          <w:highlight w:val="none"/>
        </w:rPr>
      </w:pPr>
      <w:r>
        <w:rPr>
          <w:rFonts w:hint="eastAsia" w:ascii="宋体" w:hAnsi="宋体"/>
          <w:b/>
          <w:szCs w:val="21"/>
          <w:highlight w:val="none"/>
        </w:rPr>
        <w:t xml:space="preserve">二、承包人职责</w:t>
      </w:r>
      <w:r>
        <w:rPr>
          <w:rFonts w:ascii="宋体" w:hAnsi="宋体"/>
          <w:b/>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4．承包人在任何时候都应采取各种合理的预防措施，防止其员工发生任何违法、违禁、暴力或妨碍治安的行为。</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7．操作人员上岗，必须按规定穿戴防护用品。施工负责人和安全检查员应随时检查劳动防护用品的穿戴情况，不按规定穿戴防护用品的人员不得上岗。</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8．所有施工机具设备和高空作业的设备均应定期检查，并有安全员的签字记录，保证其经常处于完好状态；不合格的机具、设备和劳动保护用品严禁使用。</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9．施工中采用新技术、新工艺、新设备、新材料时，必须制定相应的安全技术措施，施工现场必须具有相关的安全标志牌。</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Cs w:val="21"/>
          <w:highlight w:val="none"/>
        </w:rPr>
      </w:r>
      <w:r/>
    </w:p>
    <w:p>
      <w:pPr>
        <w:pStyle w:val="982"/>
        <w:ind w:firstLine="422"/>
        <w:spacing w:line="440" w:lineRule="exact"/>
        <w:rPr>
          <w:rFonts w:ascii="宋体" w:hAnsi="宋体"/>
          <w:szCs w:val="21"/>
          <w:highlight w:val="none"/>
        </w:rPr>
      </w:pPr>
      <w:r>
        <w:rPr>
          <w:rFonts w:hint="eastAsia" w:ascii="宋体" w:hAnsi="宋体"/>
          <w:b/>
          <w:szCs w:val="21"/>
          <w:highlight w:val="none"/>
        </w:rPr>
        <w:t xml:space="preserve">三、违约责任</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施工过程中发生事故，由承包人承担责任。发包人违约的，承包人可向发包人追偿。</w:t>
      </w:r>
      <w:r>
        <w:rPr>
          <w:rFonts w:ascii="宋体" w:hAnsi="宋体"/>
          <w:szCs w:val="21"/>
          <w:highlight w:val="none"/>
        </w:rPr>
      </w:r>
      <w:r/>
    </w:p>
    <w:p>
      <w:pPr>
        <w:pStyle w:val="982"/>
        <w:ind w:firstLine="422"/>
        <w:spacing w:line="440" w:lineRule="exact"/>
        <w:rPr>
          <w:rFonts w:ascii="宋体" w:hAnsi="宋体"/>
          <w:szCs w:val="21"/>
          <w:highlight w:val="none"/>
        </w:rPr>
      </w:pPr>
      <w:r>
        <w:rPr>
          <w:rFonts w:hint="eastAsia" w:ascii="宋体" w:hAnsi="宋体"/>
          <w:b/>
          <w:szCs w:val="21"/>
          <w:highlight w:val="none"/>
        </w:rPr>
        <w:t xml:space="preserve">四、</w:t>
      </w:r>
      <w:r>
        <w:rPr>
          <w:rFonts w:hint="eastAsia" w:ascii="宋体" w:hAnsi="宋体"/>
          <w:szCs w:val="21"/>
          <w:highlight w:val="none"/>
        </w:rPr>
        <w:t xml:space="preserve">本合同正本一式二份，合同双方各执一份。由双方法定代表人或其授权的代理人签署与加盖公章后生效，全部工程竣工验收后失效。</w:t>
      </w:r>
      <w:r>
        <w:rPr>
          <w:rFonts w:ascii="宋体" w:hAnsi="宋体"/>
          <w:szCs w:val="21"/>
          <w:highlight w:val="none"/>
        </w:rPr>
      </w:r>
      <w:r/>
    </w:p>
    <w:p>
      <w:pPr>
        <w:pStyle w:val="982"/>
        <w:ind w:firstLine="480"/>
        <w:spacing w:line="440" w:lineRule="exact"/>
        <w:rPr>
          <w:rFonts w:ascii="宋体" w:hAnsi="宋体"/>
          <w:szCs w:val="21"/>
          <w:highlight w:val="none"/>
        </w:rPr>
      </w:pPr>
      <w:r>
        <w:rPr>
          <w:rFonts w:ascii="宋体" w:hAnsi="宋体"/>
          <w:szCs w:val="21"/>
          <w:highlight w:val="none"/>
        </w:rPr>
      </w:r>
      <w:r/>
    </w:p>
    <w:p>
      <w:pPr>
        <w:pStyle w:val="982"/>
        <w:spacing w:line="440" w:lineRule="exact"/>
        <w:rPr>
          <w:rFonts w:ascii="宋体" w:hAnsi="宋体"/>
          <w:sz w:val="24"/>
          <w:szCs w:val="20"/>
          <w:highlight w:val="none"/>
        </w:rPr>
      </w:pPr>
      <w:r>
        <w:rPr>
          <w:rFonts w:ascii="宋体" w:hAnsi="宋体"/>
          <w:sz w:val="24"/>
          <w:szCs w:val="20"/>
          <w:highlight w:val="none"/>
        </w:rPr>
      </w:r>
      <w:r/>
    </w:p>
    <w:p>
      <w:pPr>
        <w:pStyle w:val="982"/>
        <w:spacing w:line="440" w:lineRule="exact"/>
        <w:rPr>
          <w:rFonts w:ascii="宋体" w:hAnsi="宋体"/>
          <w:spacing w:val="-4"/>
          <w:szCs w:val="21"/>
          <w:highlight w:val="none"/>
        </w:rPr>
      </w:pPr>
      <w:r>
        <w:rPr>
          <w:rFonts w:hint="eastAsia" w:ascii="宋体" w:hAnsi="宋体"/>
          <w:spacing w:val="-4"/>
          <w:szCs w:val="21"/>
          <w:highlight w:val="none"/>
        </w:rPr>
        <w:t xml:space="preserve">发包人：</w:t>
      </w:r>
      <w:r>
        <w:rPr>
          <w:rFonts w:hint="eastAsia" w:ascii="宋体" w:hAnsi="宋体"/>
          <w:spacing w:val="-4"/>
          <w:szCs w:val="21"/>
          <w:highlight w:val="none"/>
          <w:u w:val="single"/>
        </w:rPr>
        <w:t xml:space="preserve">常州市武进区公路事业发展中心</w:t>
      </w:r>
      <w:r>
        <w:rPr>
          <w:rFonts w:hint="eastAsia" w:ascii="宋体" w:hAnsi="宋体"/>
          <w:spacing w:val="-4"/>
          <w:szCs w:val="21"/>
          <w:highlight w:val="none"/>
        </w:rPr>
        <w:t xml:space="preserve">（盖单位章）  承包人：</w:t>
      </w:r>
      <w:r>
        <w:rPr>
          <w:rFonts w:hint="eastAsia" w:ascii="宋体" w:hAnsi="宋体"/>
          <w:spacing w:val="-4"/>
          <w:szCs w:val="21"/>
          <w:highlight w:val="none"/>
          <w:u w:val="single"/>
        </w:rPr>
        <w:t xml:space="preserve">                      </w:t>
      </w:r>
      <w:r>
        <w:rPr>
          <w:rFonts w:hint="eastAsia" w:ascii="宋体" w:hAnsi="宋体"/>
          <w:spacing w:val="-4"/>
          <w:szCs w:val="21"/>
          <w:highlight w:val="none"/>
        </w:rPr>
        <w:t xml:space="preserve">（盖单位章）</w:t>
      </w:r>
      <w:r>
        <w:rPr>
          <w:rFonts w:ascii="宋体" w:hAnsi="宋体"/>
          <w:spacing w:val="-4"/>
          <w:szCs w:val="21"/>
          <w:highlight w:val="none"/>
        </w:rPr>
      </w:r>
      <w:r/>
    </w:p>
    <w:p>
      <w:pPr>
        <w:pStyle w:val="982"/>
        <w:spacing w:line="440" w:lineRule="exact"/>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982"/>
        <w:spacing w:line="440" w:lineRule="exact"/>
        <w:rPr>
          <w:rFonts w:ascii="宋体" w:hAnsi="宋体"/>
          <w:szCs w:val="21"/>
          <w:highlight w:val="none"/>
        </w:rPr>
      </w:pPr>
      <w:r>
        <w:rPr>
          <w:rFonts w:hint="eastAsia" w:ascii="宋体" w:hAnsi="宋体"/>
          <w:szCs w:val="21"/>
          <w:highlight w:val="none"/>
        </w:rPr>
        <w:t xml:space="preserve">法定代表人                                     法定代表人</w:t>
      </w:r>
      <w:r>
        <w:rPr>
          <w:rFonts w:ascii="宋体" w:hAnsi="宋体"/>
          <w:szCs w:val="21"/>
          <w:highlight w:val="none"/>
        </w:rPr>
      </w:r>
      <w:r/>
    </w:p>
    <w:p>
      <w:pPr>
        <w:pStyle w:val="982"/>
        <w:spacing w:line="440" w:lineRule="exact"/>
        <w:rPr>
          <w:rFonts w:ascii="宋体" w:hAnsi="宋体"/>
          <w:szCs w:val="21"/>
          <w:highlight w:val="none"/>
        </w:rPr>
      </w:pPr>
      <w:r>
        <w:rPr>
          <w:rFonts w:hint="eastAsia" w:ascii="宋体" w:hAnsi="宋体"/>
          <w:szCs w:val="21"/>
          <w:highlight w:val="none"/>
        </w:rPr>
        <w:t xml:space="preserve">或其委托代理人：</w:t>
      </w:r>
      <w:r>
        <w:rPr>
          <w:rFonts w:hint="eastAsia" w:ascii="宋体" w:hAnsi="宋体"/>
          <w:szCs w:val="21"/>
          <w:highlight w:val="none"/>
          <w:u w:val="single"/>
        </w:rPr>
        <w:t xml:space="preserve">                  </w:t>
      </w:r>
      <w:r>
        <w:rPr>
          <w:rFonts w:hint="eastAsia" w:ascii="宋体" w:hAnsi="宋体"/>
          <w:szCs w:val="21"/>
          <w:highlight w:val="none"/>
        </w:rPr>
        <w:t xml:space="preserve">（签字）     或其委托代理人：</w:t>
      </w:r>
      <w:r>
        <w:rPr>
          <w:rFonts w:hint="eastAsia" w:ascii="宋体" w:hAnsi="宋体"/>
          <w:szCs w:val="21"/>
          <w:highlight w:val="none"/>
          <w:u w:val="single"/>
        </w:rPr>
        <w:t xml:space="preserve">              </w:t>
      </w:r>
      <w:r>
        <w:rPr>
          <w:rFonts w:hint="eastAsia" w:ascii="宋体" w:hAnsi="宋体"/>
          <w:szCs w:val="21"/>
          <w:highlight w:val="none"/>
        </w:rPr>
        <w:t xml:space="preserve">（签字）</w:t>
      </w:r>
      <w:r>
        <w:rPr>
          <w:rFonts w:ascii="宋体" w:hAnsi="宋体"/>
          <w:szCs w:val="21"/>
          <w:highlight w:val="none"/>
        </w:rPr>
      </w:r>
      <w:r/>
    </w:p>
    <w:p>
      <w:pPr>
        <w:pStyle w:val="982"/>
        <w:spacing w:line="440" w:lineRule="exact"/>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982"/>
        <w:jc w:val="right"/>
        <w:spacing w:line="440" w:lineRule="exact"/>
        <w:rPr>
          <w:rFonts w:ascii="宋体" w:hAnsi="宋体"/>
          <w:szCs w:val="21"/>
          <w:highlight w:val="none"/>
        </w:rPr>
      </w:pPr>
      <w:r>
        <w:rPr>
          <w:rFonts w:hint="eastAsia" w:ascii="宋体" w:hAnsi="宋体"/>
          <w:szCs w:val="21"/>
          <w:highlight w:val="none"/>
        </w:rPr>
        <w:t xml:space="preserve">年    月     日                                    年    月     日</w:t>
      </w:r>
      <w:r>
        <w:rPr>
          <w:rFonts w:ascii="宋体" w:hAnsi="宋体"/>
          <w:szCs w:val="21"/>
          <w:highlight w:val="none"/>
        </w:rPr>
      </w:r>
      <w:r/>
    </w:p>
    <w:p>
      <w:pPr>
        <w:pStyle w:val="1231"/>
        <w:jc w:val="center"/>
        <w:spacing w:before="0" w:beforeAutospacing="0" w:after="0" w:afterAutospacing="0" w:line="440" w:lineRule="exact"/>
        <w:shd w:val="clear" w:color="auto" w:fill="ffffff"/>
        <w:rPr>
          <w:b/>
          <w:sz w:val="84"/>
          <w:szCs w:val="84"/>
          <w:highlight w:val="none"/>
        </w:rPr>
      </w:pPr>
      <w:r>
        <w:rPr>
          <w:b/>
          <w:sz w:val="84"/>
          <w:szCs w:val="84"/>
          <w:highlight w:val="none"/>
        </w:rPr>
      </w:r>
      <w:r/>
    </w:p>
    <w:p>
      <w:pPr>
        <w:pStyle w:val="982"/>
        <w:ind w:firstLine="200"/>
        <w:spacing w:line="276" w:lineRule="auto"/>
        <w:tabs>
          <w:tab w:val="left" w:pos="1260" w:leader="none"/>
        </w:tabs>
        <w:rPr>
          <w:rFonts w:ascii="宋体" w:hAnsi="宋体"/>
          <w:b/>
          <w:bCs/>
          <w:sz w:val="28"/>
          <w:szCs w:val="28"/>
          <w:highlight w:val="none"/>
        </w:rPr>
      </w:pPr>
      <w:r>
        <w:rPr>
          <w:highlight w:val="none"/>
        </w:rPr>
        <w:br w:type="page" w:clear="all"/>
      </w:r>
      <w:r>
        <w:rPr>
          <w:rFonts w:hint="eastAsia" w:ascii="宋体" w:hAnsi="宋体"/>
          <w:b/>
          <w:bCs/>
          <w:sz w:val="28"/>
          <w:szCs w:val="28"/>
          <w:highlight w:val="none"/>
        </w:rPr>
        <w:t xml:space="preserve">附件二</w:t>
      </w:r>
      <w:r>
        <w:rPr>
          <w:rFonts w:ascii="宋体" w:hAnsi="宋体"/>
          <w:b/>
          <w:bCs/>
          <w:sz w:val="28"/>
          <w:szCs w:val="28"/>
          <w:highlight w:val="none"/>
        </w:rPr>
      </w:r>
      <w:r/>
    </w:p>
    <w:p>
      <w:pPr>
        <w:pStyle w:val="982"/>
        <w:jc w:val="center"/>
        <w:spacing w:line="0" w:lineRule="atLeast"/>
        <w:rPr>
          <w:rFonts w:ascii="宋体" w:hAnsi="宋体" w:cs="MingLiU"/>
          <w:b/>
          <w:sz w:val="28"/>
          <w:szCs w:val="28"/>
          <w:highlight w:val="none"/>
        </w:rPr>
        <w:outlineLvl w:val="3"/>
      </w:pPr>
      <w:r>
        <w:rPr>
          <w:rFonts w:hint="eastAsia" w:ascii="宋体" w:hAnsi="宋体" w:cs="MingLiU"/>
          <w:b/>
          <w:sz w:val="28"/>
          <w:szCs w:val="28"/>
          <w:highlight w:val="none"/>
        </w:rPr>
        <w:t xml:space="preserve">廉政合同</w:t>
      </w:r>
      <w:r>
        <w:rPr>
          <w:rFonts w:ascii="宋体" w:hAnsi="宋体" w:cs="MingLiU"/>
          <w:b/>
          <w:sz w:val="28"/>
          <w:szCs w:val="28"/>
          <w:highlight w:val="none"/>
        </w:rPr>
      </w:r>
      <w:r/>
    </w:p>
    <w:p>
      <w:pPr>
        <w:pStyle w:val="982"/>
        <w:spacing w:line="0" w:lineRule="atLeast"/>
        <w:rPr>
          <w:rFonts w:ascii="宋体" w:hAnsi="宋体" w:cs="MingLiU"/>
          <w:b/>
          <w:sz w:val="28"/>
          <w:szCs w:val="28"/>
          <w:highlight w:val="none"/>
        </w:rPr>
        <w:outlineLvl w:val="3"/>
      </w:pPr>
      <w:r>
        <w:rPr>
          <w:rFonts w:ascii="宋体" w:hAnsi="宋体" w:cs="MingLiU"/>
          <w:b/>
          <w:sz w:val="28"/>
          <w:szCs w:val="28"/>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w:t>
      </w:r>
      <w:r>
        <w:rPr>
          <w:rFonts w:hint="eastAsia" w:ascii="宋体" w:hAnsi="宋体"/>
          <w:szCs w:val="21"/>
          <w:highlight w:val="none"/>
          <w:u w:val="single"/>
        </w:rPr>
        <w:t xml:space="preserve">常州市武进区公路事业发展中心</w:t>
      </w:r>
      <w:r>
        <w:rPr>
          <w:rFonts w:hint="eastAsia" w:ascii="宋体" w:hAnsi="宋体"/>
          <w:szCs w:val="21"/>
          <w:highlight w:val="none"/>
        </w:rPr>
        <w:t xml:space="preserve">（以下称发包人）与施工单位</w:t>
      </w:r>
      <w:r>
        <w:rPr>
          <w:rFonts w:hint="eastAsia" w:ascii="宋体" w:hAnsi="宋体"/>
          <w:spacing w:val="-4"/>
          <w:szCs w:val="21"/>
          <w:highlight w:val="none"/>
          <w:u w:val="single"/>
        </w:rPr>
        <w:t xml:space="preserve">            </w:t>
      </w:r>
      <w:r>
        <w:rPr>
          <w:rFonts w:hint="eastAsia" w:ascii="宋体" w:hAnsi="宋体"/>
          <w:szCs w:val="21"/>
          <w:highlight w:val="none"/>
        </w:rPr>
        <w:t xml:space="preserve">（以下称承包人），特订立如下合同。</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第一条  发包人、承包人双方的权利和义务</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（一）严格遵守党和国家有关法律法规及交通部的有关规定。</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（二）严格遵守</w:t>
      </w:r>
      <w:r>
        <w:rPr>
          <w:rFonts w:hint="eastAsia" w:ascii="宋体" w:hAnsi="宋体"/>
          <w:bCs/>
          <w:szCs w:val="21"/>
          <w:highlight w:val="none"/>
          <w:u w:val="single"/>
          <w:lang w:eastAsia="zh-CN"/>
        </w:rPr>
        <w:t xml:space="preserve">2026-2027年度武进区农村公路安保设施养护及应急保障项目</w:t>
      </w:r>
      <w:r>
        <w:rPr>
          <w:rFonts w:hint="eastAsia" w:ascii="宋体" w:hAnsi="宋体"/>
          <w:szCs w:val="21"/>
          <w:highlight w:val="none"/>
        </w:rPr>
        <w:t xml:space="preserve">的合同文件，自觉按合同办事。</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（三）双方的业务活动坚持公开、公正、诚信、透明的原则（除法律认定的商业秘密和合同文件另有规定之外），不得损害国家和集体利益，违反工程建设管理规章制度。</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（四）建立健全廉政制度，开展廉政教育，设立廉政告示牌，公布举报电话，监督并认真查处违法违纪行为。</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（五）发现对方在业务活动中有违反廉政规定的行为，有及时提醒对方纠正的权利和义务。</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（六）发现对方严重违反本合同义务条款的行为，有向其上级有关部门举报、建议给予处理并要求告之处理结果的权利。</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第二条  发包人的义务</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（一）发包人及其工作人员不得索要或接受承包人的礼金、有价证券和贵重物品，不得向承包人报销任何应由发包人或个人支付的费用等。</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（二）发包人工作人员不得参加承包人安排的超标准宴请和娱乐活动；不得接受承包人提供的通讯工具、交通工具和高档办公用品等。</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（三）发包人及其工作人员不得要求或者接受承包人为其住房装修、婚丧嫁娶活动、配偶子女、亲友的工作安排以及出国出境、旅游等提供方便等。</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（四）发包人工作人员的配偶、子女、亲友不得从事与发包人工程有关的材料设备供应、工程分包、劳务等经济活动等。</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（五）发包人及其工作人员不得以任何理由向承包人推荐分包单位，不得要求承包人购买合同规定外的材料和设备。</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（六）发包人工作人员要秉公办事，不准营私舞弊，不准利用职权从事各种个人有偿中介活动和安排个人队伍。</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第三条  承包人义务</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（一）承包人不得以任何理由向发包人及其工作人员行贿或馈赠礼金、有价证券、贵重礼品。</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（二）承包人不得以任何名义为发包人及其工作人员报销应由发包人单位或个人支付的任何费用。</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（三）承包人不得为发包人单位和个人购置或提供通讯工具、交通工具和高档办公用品等。</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（四）承包人不得以任何理由安排发包人及其工作人员参加超标准宴请及娱乐活动。</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（五）承包人不得以单位股东或员工名义给发包人及其工作人员或其近亲属发放红利、工资或奖金。</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第四条  违约责任</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（一）发包人及其工作人员违反本合同第一、二条，按管理权限，依据有关规定给予党纪、政纪或组织处理；涉嫌犯罪的，移交司法机关追究刑事责任；给承包人单位造成经济损失的，应予以赔偿。</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第五条  双方约定：本合同由双方或双方上级单位的纪检监察机关负责监督。由发包人或发包人上级单位的纪检监察机关约请承包人或承包人上级单位纪检监察机关对本合同履行情况进行检查，提出在本合同规定范围内的裁定意见。</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第六条  本合同有效期为发包人、承包人双方签署之日起至该工程项目竣工验收后止。</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第七条  本合同作为</w:t>
      </w:r>
      <w:r>
        <w:rPr>
          <w:rFonts w:hint="eastAsia" w:ascii="宋体" w:hAnsi="宋体"/>
          <w:bCs/>
          <w:szCs w:val="21"/>
          <w:highlight w:val="none"/>
          <w:u w:val="single"/>
          <w:lang w:eastAsia="zh-CN"/>
        </w:rPr>
        <w:t xml:space="preserve">2026-2027年度武进区农村公路安保设施养护及应急保障项目</w:t>
      </w:r>
      <w:r>
        <w:rPr>
          <w:rFonts w:hint="eastAsia" w:ascii="宋体" w:hAnsi="宋体"/>
          <w:szCs w:val="21"/>
          <w:highlight w:val="none"/>
        </w:rPr>
        <w:t xml:space="preserve">施工合同的附件，与工程施工合同具有同等的法律效力，经合同双方签署立即生效。</w:t>
      </w:r>
      <w:r>
        <w:rPr>
          <w:rFonts w:ascii="宋体" w:hAnsi="宋体"/>
          <w:szCs w:val="21"/>
          <w:highlight w:val="none"/>
        </w:rPr>
      </w:r>
      <w:r/>
    </w:p>
    <w:p>
      <w:pPr>
        <w:pStyle w:val="982"/>
        <w:ind w:firstLine="420"/>
        <w:spacing w:line="440" w:lineRule="exact"/>
        <w:rPr>
          <w:rFonts w:ascii="宋体" w:hAnsi="宋体"/>
          <w:szCs w:val="21"/>
          <w:highlight w:val="none"/>
        </w:rPr>
      </w:pPr>
      <w:r>
        <w:rPr>
          <w:rFonts w:hint="eastAsia" w:ascii="宋体" w:hAnsi="宋体"/>
          <w:szCs w:val="21"/>
          <w:highlight w:val="none"/>
        </w:rPr>
        <w:t xml:space="preserve">第八条  本合同一式两份，由发包人和承包人各执—份。</w:t>
      </w:r>
      <w:r>
        <w:rPr>
          <w:rFonts w:ascii="宋体" w:hAnsi="宋体"/>
          <w:szCs w:val="21"/>
          <w:highlight w:val="none"/>
        </w:rPr>
      </w:r>
      <w:r/>
    </w:p>
    <w:p>
      <w:pPr>
        <w:pStyle w:val="982"/>
        <w:ind w:firstLine="480"/>
        <w:spacing w:line="360" w:lineRule="auto"/>
        <w:rPr>
          <w:rFonts w:ascii="宋体" w:hAnsi="宋体"/>
          <w:sz w:val="24"/>
          <w:szCs w:val="20"/>
          <w:highlight w:val="none"/>
        </w:rPr>
      </w:pPr>
      <w:r>
        <w:rPr>
          <w:rFonts w:ascii="宋体" w:hAnsi="宋体"/>
          <w:sz w:val="24"/>
          <w:szCs w:val="20"/>
          <w:highlight w:val="none"/>
        </w:rPr>
      </w:r>
      <w:r/>
    </w:p>
    <w:p>
      <w:pPr>
        <w:pStyle w:val="982"/>
        <w:spacing w:line="360" w:lineRule="auto"/>
        <w:rPr>
          <w:rFonts w:ascii="宋体" w:hAnsi="宋体"/>
          <w:sz w:val="24"/>
          <w:highlight w:val="none"/>
        </w:rPr>
      </w:pPr>
      <w:r>
        <w:rPr>
          <w:rFonts w:ascii="宋体" w:hAnsi="宋体"/>
          <w:sz w:val="24"/>
          <w:highlight w:val="none"/>
        </w:rPr>
      </w:r>
      <w:r/>
    </w:p>
    <w:p>
      <w:pPr>
        <w:pStyle w:val="982"/>
        <w:spacing w:line="360" w:lineRule="exact"/>
        <w:rPr>
          <w:rFonts w:ascii="宋体" w:hAnsi="宋体"/>
          <w:spacing w:val="-4"/>
          <w:szCs w:val="21"/>
          <w:highlight w:val="none"/>
        </w:rPr>
      </w:pPr>
      <w:r>
        <w:rPr>
          <w:rFonts w:hint="eastAsia" w:ascii="宋体" w:hAnsi="宋体"/>
          <w:spacing w:val="-4"/>
          <w:szCs w:val="21"/>
          <w:highlight w:val="none"/>
        </w:rPr>
        <w:t xml:space="preserve">发包人：</w:t>
      </w:r>
      <w:r>
        <w:rPr>
          <w:rFonts w:hint="eastAsia" w:ascii="宋体" w:hAnsi="宋体"/>
          <w:spacing w:val="-4"/>
          <w:szCs w:val="21"/>
          <w:highlight w:val="none"/>
          <w:u w:val="single"/>
        </w:rPr>
        <w:t xml:space="preserve">常州市武进区公路事业发展中心</w:t>
      </w:r>
      <w:r>
        <w:rPr>
          <w:rFonts w:hint="eastAsia" w:ascii="宋体" w:hAnsi="宋体"/>
          <w:spacing w:val="-4"/>
          <w:szCs w:val="21"/>
          <w:highlight w:val="none"/>
        </w:rPr>
        <w:t xml:space="preserve">（盖单位章）  承包人：</w:t>
      </w:r>
      <w:r>
        <w:rPr>
          <w:rFonts w:hint="eastAsia" w:ascii="宋体" w:hAnsi="宋体"/>
          <w:spacing w:val="-4"/>
          <w:szCs w:val="21"/>
          <w:highlight w:val="none"/>
          <w:u w:val="single"/>
        </w:rPr>
        <w:t xml:space="preserve">                       </w:t>
      </w:r>
      <w:r>
        <w:rPr>
          <w:rFonts w:hint="eastAsia" w:ascii="宋体" w:hAnsi="宋体"/>
          <w:spacing w:val="-4"/>
          <w:szCs w:val="21"/>
          <w:highlight w:val="none"/>
        </w:rPr>
        <w:t xml:space="preserve">（盖单位章）</w:t>
      </w:r>
      <w:r>
        <w:rPr>
          <w:rFonts w:ascii="宋体" w:hAnsi="宋体"/>
          <w:spacing w:val="-4"/>
          <w:szCs w:val="21"/>
          <w:highlight w:val="none"/>
        </w:rPr>
      </w:r>
      <w:r/>
    </w:p>
    <w:p>
      <w:pPr>
        <w:pStyle w:val="982"/>
        <w:spacing w:line="360" w:lineRule="exact"/>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982"/>
        <w:spacing w:line="360" w:lineRule="exact"/>
        <w:rPr>
          <w:rFonts w:ascii="宋体" w:hAnsi="宋体"/>
          <w:szCs w:val="21"/>
          <w:highlight w:val="none"/>
        </w:rPr>
      </w:pPr>
      <w:r>
        <w:rPr>
          <w:rFonts w:hint="eastAsia" w:ascii="宋体" w:hAnsi="宋体"/>
          <w:szCs w:val="21"/>
          <w:highlight w:val="none"/>
        </w:rPr>
        <w:t xml:space="preserve">法定代表人                                     法定代表人</w:t>
      </w:r>
      <w:r>
        <w:rPr>
          <w:rFonts w:ascii="宋体" w:hAnsi="宋体"/>
          <w:szCs w:val="21"/>
          <w:highlight w:val="none"/>
        </w:rPr>
      </w:r>
      <w:r/>
    </w:p>
    <w:p>
      <w:pPr>
        <w:pStyle w:val="982"/>
        <w:spacing w:line="360" w:lineRule="exact"/>
        <w:rPr>
          <w:rFonts w:ascii="宋体" w:hAnsi="宋体"/>
          <w:szCs w:val="21"/>
          <w:highlight w:val="none"/>
        </w:rPr>
      </w:pPr>
      <w:r>
        <w:rPr>
          <w:rFonts w:hint="eastAsia" w:ascii="宋体" w:hAnsi="宋体"/>
          <w:szCs w:val="21"/>
          <w:highlight w:val="none"/>
        </w:rPr>
        <w:t xml:space="preserve">或其委托代理人：</w:t>
      </w:r>
      <w:r>
        <w:rPr>
          <w:rFonts w:hint="eastAsia" w:ascii="宋体" w:hAnsi="宋体"/>
          <w:szCs w:val="21"/>
          <w:highlight w:val="none"/>
          <w:u w:val="single"/>
        </w:rPr>
        <w:t xml:space="preserve">             </w:t>
      </w:r>
      <w:r>
        <w:rPr>
          <w:rFonts w:hint="eastAsia" w:ascii="宋体" w:hAnsi="宋体"/>
          <w:szCs w:val="21"/>
          <w:highlight w:val="none"/>
        </w:rPr>
        <w:t xml:space="preserve">（签字）          或其委托代理人：</w:t>
      </w:r>
      <w:r>
        <w:rPr>
          <w:rFonts w:hint="eastAsia" w:ascii="宋体" w:hAnsi="宋体"/>
          <w:szCs w:val="21"/>
          <w:highlight w:val="none"/>
          <w:u w:val="single"/>
        </w:rPr>
        <w:t xml:space="preserve">               </w:t>
      </w:r>
      <w:r>
        <w:rPr>
          <w:rFonts w:hint="eastAsia" w:ascii="宋体" w:hAnsi="宋体"/>
          <w:szCs w:val="21"/>
          <w:highlight w:val="none"/>
        </w:rPr>
        <w:t xml:space="preserve">（签字）</w:t>
      </w:r>
      <w:r>
        <w:rPr>
          <w:rFonts w:ascii="宋体" w:hAnsi="宋体"/>
          <w:szCs w:val="21"/>
          <w:highlight w:val="none"/>
        </w:rPr>
      </w:r>
      <w:r/>
    </w:p>
    <w:p>
      <w:pPr>
        <w:pStyle w:val="982"/>
        <w:spacing w:line="360" w:lineRule="exact"/>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982"/>
        <w:jc w:val="right"/>
        <w:spacing w:line="440" w:lineRule="exact"/>
        <w:rPr>
          <w:rFonts w:ascii="宋体" w:hAnsi="宋体"/>
          <w:szCs w:val="21"/>
          <w:highlight w:val="none"/>
        </w:rPr>
      </w:pPr>
      <w:r>
        <w:rPr>
          <w:rFonts w:hint="eastAsia" w:ascii="宋体" w:hAnsi="宋体"/>
          <w:szCs w:val="21"/>
          <w:highlight w:val="none"/>
        </w:rPr>
        <w:t xml:space="preserve">年    月     日                                    年    月     日</w:t>
      </w:r>
      <w:r>
        <w:rPr>
          <w:rFonts w:ascii="宋体" w:hAnsi="宋体"/>
          <w:szCs w:val="21"/>
          <w:highlight w:val="none"/>
        </w:rPr>
      </w:r>
      <w:r/>
    </w:p>
    <w:p>
      <w:pPr>
        <w:pStyle w:val="982"/>
        <w:spacing w:line="360" w:lineRule="auto"/>
        <w:rPr>
          <w:b/>
          <w:sz w:val="36"/>
          <w:szCs w:val="36"/>
          <w:highlight w:val="none"/>
        </w:rPr>
        <w:outlineLvl w:val="0"/>
      </w:pPr>
      <w:r>
        <w:rPr>
          <w:b/>
          <w:sz w:val="36"/>
          <w:szCs w:val="36"/>
          <w:highlight w:val="none"/>
        </w:rPr>
      </w:r>
      <w:r/>
    </w:p>
    <w:p>
      <w:pPr>
        <w:pStyle w:val="982"/>
        <w:jc w:val="center"/>
        <w:spacing w:line="360" w:lineRule="auto"/>
        <w:rPr>
          <w:b/>
          <w:sz w:val="36"/>
          <w:szCs w:val="36"/>
          <w:highlight w:val="none"/>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highlight w:val="none"/>
        </w:rPr>
      </w:r>
      <w:r/>
    </w:p>
    <w:p>
      <w:pPr>
        <w:pStyle w:val="982"/>
        <w:jc w:val="center"/>
        <w:spacing w:line="360" w:lineRule="auto"/>
        <w:rPr>
          <w:rFonts w:hint="eastAsia"/>
          <w:b/>
          <w:sz w:val="36"/>
          <w:szCs w:val="36"/>
          <w:highlight w:val="none"/>
        </w:rPr>
        <w:outlineLvl w:val="0"/>
      </w:pPr>
      <w:r>
        <w:rPr>
          <w:rFonts w:hint="eastAsia"/>
          <w:b/>
          <w:sz w:val="36"/>
          <w:szCs w:val="36"/>
          <w:highlight w:val="none"/>
        </w:rPr>
      </w:r>
      <w:r/>
    </w:p>
    <w:p>
      <w:pPr>
        <w:pStyle w:val="1043"/>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82"/>
        <w:jc w:val="center"/>
        <w:spacing w:line="360" w:lineRule="auto"/>
        <w:rPr>
          <w:rFonts w:ascii="Times New Roman" w:hAnsi="Times New Roman" w:eastAsia="宋体" w:cs="Times New Roman"/>
          <w:b/>
          <w:bCs/>
          <w:color w:val="ff0000"/>
          <w:sz w:val="36"/>
          <w:szCs w:val="36"/>
          <w:highlight w:val="none"/>
        </w:rPr>
        <w:outlineLvl w:val="0"/>
      </w:pPr>
      <w:r>
        <w:rPr>
          <w:rFonts w:ascii="Times New Roman" w:hAnsi="Times New Roman" w:eastAsia="宋体" w:cs="Times New Roman"/>
          <w:b/>
          <w:bCs/>
          <w:color w:val="ff0000"/>
          <w:sz w:val="36"/>
          <w:szCs w:val="36"/>
          <w:highlight w:val="none"/>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highlight w:val="none"/>
        </w:rPr>
      </w:r>
      <w:r/>
    </w:p>
    <w:p>
      <w:pPr>
        <w:pStyle w:val="982"/>
        <w:jc w:val="center"/>
        <w:spacing w:line="360" w:lineRule="auto"/>
        <w:rPr>
          <w:rFonts w:hint="eastAsia" w:ascii="Times New Roman" w:hAnsi="Times New Roman" w:eastAsia="宋体" w:cs="Times New Roman"/>
          <w:b/>
          <w:bCs/>
          <w:color w:val="ff0000"/>
          <w:sz w:val="36"/>
          <w:szCs w:val="36"/>
          <w:highlight w:val="none"/>
        </w:rPr>
        <w:outlineLvl w:val="0"/>
      </w:pPr>
      <w:r>
        <w:rPr>
          <w:rFonts w:hint="eastAsia" w:ascii="Times New Roman" w:hAnsi="Times New Roman" w:eastAsia="宋体" w:cs="Times New Roman"/>
          <w:b/>
          <w:bCs/>
          <w:color w:val="ff0000"/>
          <w:sz w:val="36"/>
          <w:szCs w:val="36"/>
          <w:highlight w:val="none"/>
        </w:rPr>
      </w:r>
      <w:r/>
    </w:p>
    <w:p>
      <w:pPr>
        <w:pStyle w:val="982"/>
        <w:jc w:val="center"/>
        <w:spacing w:line="360" w:lineRule="auto"/>
        <w:rPr>
          <w:b/>
          <w:sz w:val="36"/>
          <w:szCs w:val="36"/>
          <w:highlight w:val="none"/>
        </w:rPr>
        <w:outlineLvl w:val="0"/>
      </w:pPr>
      <w:r>
        <w:rPr>
          <w:b/>
          <w:sz w:val="36"/>
          <w:szCs w:val="36"/>
          <w:highlight w:val="none"/>
        </w:rPr>
        <w:t xml:space="preserve">第六章   响应文件格式</w:t>
      </w:r>
      <w:bookmarkEnd w:id="654"/>
      <w:r>
        <w:rPr>
          <w:b/>
          <w:sz w:val="36"/>
          <w:szCs w:val="36"/>
          <w:highlight w:val="none"/>
        </w:rPr>
      </w:r>
      <w:r/>
    </w:p>
    <w:p>
      <w:pPr>
        <w:pStyle w:val="982"/>
        <w:jc w:val="left"/>
        <w:spacing w:line="360" w:lineRule="auto"/>
        <w:widowControl/>
        <w:rPr>
          <w:b/>
          <w:sz w:val="24"/>
          <w:highlight w:val="none"/>
        </w:rPr>
      </w:pPr>
      <w:r>
        <w:rPr>
          <w:b/>
          <w:sz w:val="24"/>
          <w:highlight w:val="none"/>
        </w:rPr>
      </w:r>
      <w:r/>
    </w:p>
    <w:p>
      <w:pPr>
        <w:pStyle w:val="982"/>
        <w:jc w:val="left"/>
        <w:spacing w:line="360" w:lineRule="auto"/>
        <w:widowControl/>
        <w:rPr>
          <w:b/>
          <w:sz w:val="24"/>
          <w:highlight w:val="none"/>
        </w:rPr>
      </w:pPr>
      <w:r>
        <w:rPr>
          <w:b/>
          <w:sz w:val="24"/>
          <w:highlight w:val="none"/>
        </w:rPr>
      </w:r>
      <w:r/>
    </w:p>
    <w:p>
      <w:pPr>
        <w:pStyle w:val="982"/>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982"/>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98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对于竞争性磋商文件中标记了“实质性格式”文件的，供应商</w:t>
      </w:r>
      <w:r>
        <w:rPr>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982"/>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98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982"/>
        <w:ind w:left="142"/>
        <w:spacing w:line="360" w:lineRule="auto"/>
        <w:tabs>
          <w:tab w:val="left" w:pos="900" w:leader="none"/>
          <w:tab w:val="left" w:pos="1980" w:leader="none"/>
        </w:tabs>
        <w:rPr>
          <w:sz w:val="24"/>
          <w:highlight w:val="none"/>
        </w:rPr>
      </w:pPr>
      <w:r>
        <w:rPr>
          <w:sz w:val="24"/>
          <w:highlight w:val="none"/>
        </w:rPr>
      </w:r>
      <w:r/>
    </w:p>
    <w:p>
      <w:pPr>
        <w:pStyle w:val="982"/>
        <w:jc w:val="left"/>
        <w:widowControl/>
        <w:rPr>
          <w:sz w:val="24"/>
          <w:highlight w:val="none"/>
        </w:rPr>
      </w:pPr>
      <w:r>
        <w:rPr>
          <w:sz w:val="24"/>
          <w:highlight w:val="none"/>
        </w:rPr>
        <w:br w:type="page" w:clear="all"/>
      </w:r>
      <w:r>
        <w:rPr>
          <w:sz w:val="24"/>
          <w:highlight w:val="none"/>
        </w:rPr>
      </w:r>
      <w:r/>
    </w:p>
    <w:p>
      <w:pPr>
        <w:pStyle w:val="982"/>
        <w:rPr>
          <w:b/>
          <w:spacing w:val="20"/>
          <w:szCs w:val="21"/>
          <w:highlight w:val="none"/>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highlight w:val="none"/>
        </w:rPr>
      </w:r>
      <w:r/>
    </w:p>
    <w:p>
      <w:pPr>
        <w:pStyle w:val="982"/>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982"/>
        <w:jc w:val="center"/>
        <w:rPr>
          <w:rFonts w:hint="eastAsia"/>
          <w:sz w:val="84"/>
          <w:szCs w:val="84"/>
          <w:highlight w:val="none"/>
        </w:rPr>
      </w:pPr>
      <w:r>
        <w:rPr>
          <w:rFonts w:hint="eastAsia"/>
          <w:sz w:val="84"/>
          <w:szCs w:val="84"/>
          <w:highlight w:val="none"/>
        </w:rPr>
      </w:r>
      <w:r/>
    </w:p>
    <w:p>
      <w:pPr>
        <w:pStyle w:val="982"/>
        <w:jc w:val="center"/>
        <w:rPr>
          <w:sz w:val="84"/>
          <w:szCs w:val="84"/>
          <w:highlight w:val="none"/>
        </w:rPr>
      </w:pPr>
      <w:r>
        <w:rPr>
          <w:sz w:val="84"/>
          <w:szCs w:val="84"/>
          <w:highlight w:val="none"/>
        </w:rPr>
      </w:r>
      <w:r/>
    </w:p>
    <w:p>
      <w:pPr>
        <w:pStyle w:val="982"/>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982"/>
        <w:jc w:val="center"/>
        <w:rPr>
          <w:rFonts w:hint="eastAsia"/>
          <w:b/>
          <w:spacing w:val="60"/>
          <w:sz w:val="84"/>
          <w:szCs w:val="84"/>
          <w:highlight w:val="none"/>
        </w:rPr>
      </w:pPr>
      <w:r>
        <w:rPr>
          <w:rFonts w:hint="eastAsia"/>
          <w:b/>
          <w:spacing w:val="60"/>
          <w:sz w:val="84"/>
          <w:szCs w:val="84"/>
          <w:highlight w:val="none"/>
        </w:rPr>
      </w:r>
      <w:r/>
    </w:p>
    <w:p>
      <w:pPr>
        <w:pStyle w:val="982"/>
        <w:jc w:val="center"/>
        <w:rPr>
          <w:b/>
          <w:spacing w:val="60"/>
          <w:sz w:val="84"/>
          <w:szCs w:val="84"/>
          <w:highlight w:val="none"/>
        </w:rPr>
      </w:pPr>
      <w:r>
        <w:rPr>
          <w:b/>
          <w:spacing w:val="60"/>
          <w:sz w:val="84"/>
          <w:szCs w:val="84"/>
          <w:highlight w:val="none"/>
        </w:rPr>
      </w:r>
      <w:r/>
    </w:p>
    <w:p>
      <w:pPr>
        <w:pStyle w:val="982"/>
        <w:ind w:firstLine="542"/>
        <w:rPr>
          <w:b/>
          <w:spacing w:val="20"/>
          <w:sz w:val="32"/>
          <w:szCs w:val="32"/>
          <w:highlight w:val="none"/>
        </w:rPr>
      </w:pPr>
      <w:r>
        <w:rPr>
          <w:b/>
          <w:spacing w:val="20"/>
          <w:sz w:val="32"/>
          <w:szCs w:val="32"/>
          <w:highlight w:val="none"/>
        </w:rPr>
      </w:r>
      <w:r/>
    </w:p>
    <w:p>
      <w:pPr>
        <w:pStyle w:val="982"/>
        <w:ind w:firstLine="542"/>
        <w:rPr>
          <w:b/>
          <w:spacing w:val="20"/>
          <w:sz w:val="32"/>
          <w:szCs w:val="32"/>
          <w:highlight w:val="none"/>
        </w:rPr>
      </w:pPr>
      <w:r>
        <w:rPr>
          <w:b/>
          <w:spacing w:val="20"/>
          <w:sz w:val="32"/>
          <w:szCs w:val="32"/>
          <w:highlight w:val="none"/>
        </w:rPr>
      </w:r>
      <w:r/>
    </w:p>
    <w:p>
      <w:pPr>
        <w:pStyle w:val="98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8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82"/>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98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82"/>
        <w:jc w:val="center"/>
        <w:rPr>
          <w:b/>
          <w:sz w:val="32"/>
          <w:szCs w:val="32"/>
          <w:highlight w:val="none"/>
        </w:rPr>
      </w:pPr>
      <w:r>
        <w:rPr>
          <w:b/>
          <w:sz w:val="32"/>
          <w:szCs w:val="32"/>
          <w:highlight w:val="none"/>
        </w:rPr>
      </w:r>
      <w:r/>
    </w:p>
    <w:p>
      <w:pPr>
        <w:pStyle w:val="982"/>
        <w:rPr>
          <w:b/>
          <w:highlight w:val="none"/>
        </w:rPr>
      </w:pPr>
      <w:r>
        <w:rPr>
          <w:b/>
          <w:spacing w:val="20"/>
          <w:sz w:val="32"/>
          <w:szCs w:val="32"/>
          <w:highlight w:val="none"/>
        </w:rPr>
        <w:br w:type="page" w:clear="all"/>
      </w:r>
      <w:r>
        <w:rPr>
          <w:b/>
          <w:highlight w:val="none"/>
        </w:rPr>
      </w:r>
      <w:r/>
    </w:p>
    <w:p>
      <w:pPr>
        <w:pStyle w:val="982"/>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985"/>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98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8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996"/>
        <w:ind w:firstLine="480"/>
        <w:spacing w:line="460" w:lineRule="exact"/>
        <w:rPr>
          <w:highlight w:val="none"/>
        </w:rPr>
      </w:pPr>
      <w:r>
        <w:rPr>
          <w:highlight w:val="none"/>
        </w:rPr>
      </w:r>
      <w:r/>
    </w:p>
    <w:p>
      <w:pPr>
        <w:pStyle w:val="996"/>
        <w:ind w:firstLine="0"/>
        <w:spacing w:line="460" w:lineRule="exact"/>
        <w:rPr>
          <w:rFonts w:hint="eastAsia"/>
          <w:highlight w:val="none"/>
        </w:rPr>
      </w:pPr>
      <w:r>
        <w:rPr>
          <w:rFonts w:hint="eastAsia"/>
          <w:highlight w:val="none"/>
        </w:rPr>
        <w:t xml:space="preserve">致：常州市武进区公路事业发展中心</w:t>
      </w:r>
      <w:r>
        <w:rPr>
          <w:rFonts w:hint="eastAsia"/>
          <w:highlight w:val="none"/>
        </w:rPr>
      </w:r>
      <w:r/>
    </w:p>
    <w:p>
      <w:pPr>
        <w:pStyle w:val="996"/>
        <w:spacing w:line="460" w:lineRule="exact"/>
        <w:rPr>
          <w:highlight w:val="none"/>
          <w:u w:val="single"/>
        </w:rPr>
      </w:pPr>
      <w:r>
        <w:rPr>
          <w:rFonts w:hint="eastAsia"/>
          <w:highlight w:val="none"/>
        </w:rPr>
        <w:t xml:space="preserve">常州市长润工程咨询有限公司</w:t>
      </w:r>
      <w:r>
        <w:rPr>
          <w:highlight w:val="none"/>
          <w:u w:val="single"/>
        </w:rPr>
      </w:r>
      <w:r/>
    </w:p>
    <w:p>
      <w:pPr>
        <w:pStyle w:val="996"/>
        <w:ind w:firstLine="480"/>
        <w:spacing w:line="460" w:lineRule="exact"/>
        <w:rPr>
          <w:highlight w:val="none"/>
        </w:rPr>
      </w:pPr>
      <w:r>
        <w:rPr>
          <w:highlight w:val="none"/>
        </w:rPr>
      </w:r>
      <w:r/>
    </w:p>
    <w:p>
      <w:pPr>
        <w:pStyle w:val="996"/>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99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96"/>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996"/>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996"/>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996"/>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96"/>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9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96"/>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96"/>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996"/>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99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9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9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96"/>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996"/>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99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9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9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996"/>
        <w:ind w:firstLine="480"/>
        <w:spacing w:line="460" w:lineRule="exact"/>
        <w:rPr>
          <w:highlight w:val="none"/>
        </w:rPr>
      </w:pPr>
      <w:r>
        <w:rPr>
          <w:highlight w:val="none"/>
        </w:rPr>
      </w:r>
      <w:r/>
    </w:p>
    <w:p>
      <w:pPr>
        <w:pStyle w:val="99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96"/>
        <w:ind w:firstLine="480"/>
        <w:spacing w:line="460" w:lineRule="exact"/>
        <w:rPr>
          <w:highlight w:val="none"/>
        </w:rPr>
      </w:pPr>
      <w:r>
        <w:rPr>
          <w:highlight w:val="none"/>
        </w:rPr>
      </w:r>
      <w:r/>
    </w:p>
    <w:p>
      <w:pPr>
        <w:pStyle w:val="996"/>
        <w:ind w:firstLine="480"/>
        <w:spacing w:line="460" w:lineRule="exact"/>
        <w:rPr>
          <w:highlight w:val="none"/>
        </w:rPr>
      </w:pPr>
      <w:r>
        <w:rPr>
          <w:highlight w:val="none"/>
        </w:rPr>
      </w:r>
      <w:r/>
    </w:p>
    <w:p>
      <w:pPr>
        <w:pStyle w:val="996"/>
        <w:ind w:firstLine="480"/>
        <w:spacing w:line="460" w:lineRule="exact"/>
        <w:rPr>
          <w:highlight w:val="none"/>
        </w:rPr>
      </w:pPr>
      <w:r>
        <w:rPr>
          <w:rFonts w:hint="eastAsia"/>
          <w:highlight w:val="none"/>
        </w:rPr>
        <w:t xml:space="preserve">                                            供应商：（加盖公章）</w:t>
      </w:r>
      <w:r>
        <w:rPr>
          <w:highlight w:val="none"/>
        </w:rPr>
      </w:r>
      <w:r/>
    </w:p>
    <w:p>
      <w:pPr>
        <w:pStyle w:val="996"/>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96"/>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82"/>
        <w:spacing w:line="360" w:lineRule="auto"/>
        <w:rPr>
          <w:rFonts w:hint="eastAsia"/>
          <w:sz w:val="24"/>
          <w:highlight w:val="none"/>
        </w:rPr>
      </w:pPr>
      <w:r>
        <w:rPr>
          <w:rFonts w:hint="eastAsia"/>
          <w:sz w:val="24"/>
          <w:highlight w:val="none"/>
        </w:rPr>
      </w:r>
      <w:r/>
    </w:p>
    <w:p>
      <w:pPr>
        <w:pStyle w:val="982"/>
        <w:spacing w:line="360" w:lineRule="auto"/>
        <w:rPr>
          <w:rFonts w:hint="eastAsia"/>
          <w:sz w:val="24"/>
          <w:highlight w:val="none"/>
        </w:rPr>
      </w:pPr>
      <w:r>
        <w:rPr>
          <w:rFonts w:hint="eastAsia"/>
          <w:sz w:val="24"/>
          <w:highlight w:val="none"/>
        </w:rPr>
      </w:r>
      <w:r/>
    </w:p>
    <w:p>
      <w:pPr>
        <w:pStyle w:val="982"/>
        <w:spacing w:line="360" w:lineRule="auto"/>
        <w:rPr>
          <w:rFonts w:hint="eastAsia"/>
          <w:sz w:val="24"/>
          <w:highlight w:val="none"/>
        </w:rPr>
      </w:pPr>
      <w:r>
        <w:rPr>
          <w:rFonts w:hint="eastAsia"/>
          <w:sz w:val="24"/>
          <w:highlight w:val="none"/>
        </w:rPr>
      </w:r>
      <w:r/>
    </w:p>
    <w:p>
      <w:pPr>
        <w:pStyle w:val="98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982"/>
        <w:spacing w:line="360" w:lineRule="auto"/>
        <w:tabs>
          <w:tab w:val="left" w:pos="5580" w:leader="none"/>
        </w:tabs>
        <w:rPr>
          <w:sz w:val="24"/>
          <w:highlight w:val="none"/>
        </w:rPr>
        <w:sectPr>
          <w:footnotePr/>
          <w:endnotePr/>
          <w:type w:val="nextPage"/>
          <w:pgSz w:w="11907" w:h="16840" w:orient="portrait"/>
          <w:pgMar w:top="1418" w:right="1134" w:bottom="1134" w:left="1134" w:header="851" w:footer="851" w:gutter="0"/>
          <w:cols w:num="1" w:sep="0" w:space="1701" w:equalWidth="1"/>
          <w:docGrid w:linePitch="360"/>
        </w:sectPr>
      </w:pPr>
      <w:r>
        <w:rPr>
          <w:sz w:val="24"/>
          <w:highlight w:val="none"/>
        </w:rPr>
      </w:r>
      <w:r/>
    </w:p>
    <w:p>
      <w:pPr>
        <w:pStyle w:val="982"/>
        <w:spacing w:line="360" w:lineRule="auto"/>
        <w:rPr>
          <w:sz w:val="24"/>
          <w:szCs w:val="20"/>
          <w:highlight w:val="none"/>
        </w:rPr>
        <w:outlineLvl w:val="2"/>
      </w:pPr>
      <w:r>
        <w:rPr>
          <w:sz w:val="24"/>
          <w:szCs w:val="20"/>
          <w:highlight w:val="none"/>
        </w:rPr>
      </w:r>
      <w:r/>
    </w:p>
    <w:p>
      <w:pPr>
        <w:pStyle w:val="982"/>
        <w:spacing w:line="360" w:lineRule="auto"/>
        <w:rPr>
          <w:sz w:val="24"/>
          <w:szCs w:val="20"/>
          <w:highlight w:val="none"/>
        </w:rPr>
        <w:outlineLvl w:val="2"/>
      </w:pPr>
      <w:r>
        <w:rPr>
          <w:sz w:val="24"/>
          <w:szCs w:val="20"/>
          <w:highlight w:val="none"/>
        </w:rPr>
        <w:t xml:space="preserve">2 落实政府采购政策需满足的资格要求</w:t>
      </w:r>
      <w:r>
        <w:rPr>
          <w:sz w:val="24"/>
          <w:szCs w:val="20"/>
          <w:highlight w:val="none"/>
        </w:rPr>
      </w:r>
      <w:r/>
    </w:p>
    <w:p>
      <w:pPr>
        <w:pStyle w:val="982"/>
        <w:spacing w:line="360" w:lineRule="auto"/>
        <w:rPr>
          <w:sz w:val="24"/>
          <w:szCs w:val="20"/>
          <w:highlight w:val="none"/>
        </w:rPr>
        <w:outlineLvl w:val="2"/>
      </w:pPr>
      <w:r>
        <w:rPr>
          <w:sz w:val="24"/>
          <w:szCs w:val="20"/>
          <w:highlight w:val="none"/>
        </w:rPr>
        <w:t xml:space="preserve">2-1 中小企业声明函</w:t>
      </w:r>
      <w:r>
        <w:rPr>
          <w:sz w:val="24"/>
          <w:szCs w:val="20"/>
          <w:highlight w:val="none"/>
        </w:rPr>
      </w:r>
      <w:r/>
    </w:p>
    <w:p>
      <w:pPr>
        <w:pStyle w:val="982"/>
        <w:spacing w:line="360" w:lineRule="auto"/>
        <w:tabs>
          <w:tab w:val="left" w:pos="5580" w:leader="none"/>
        </w:tabs>
        <w:rPr>
          <w:sz w:val="24"/>
          <w:highlight w:val="none"/>
        </w:rPr>
      </w:pPr>
      <w:r>
        <w:rPr>
          <w:sz w:val="24"/>
          <w:highlight w:val="none"/>
        </w:rPr>
      </w:r>
      <w:r/>
    </w:p>
    <w:p>
      <w:pPr>
        <w:pStyle w:val="982"/>
        <w:spacing w:line="360" w:lineRule="auto"/>
        <w:tabs>
          <w:tab w:val="left" w:pos="5580" w:leader="none"/>
        </w:tabs>
        <w:rPr>
          <w:sz w:val="24"/>
          <w:highlight w:val="none"/>
        </w:rPr>
      </w:pPr>
      <w:r>
        <w:rPr>
          <w:sz w:val="24"/>
          <w:highlight w:val="none"/>
        </w:rPr>
        <w:t xml:space="preserve">说明：</w:t>
      </w:r>
      <w:r>
        <w:rPr>
          <w:sz w:val="24"/>
          <w:highlight w:val="none"/>
        </w:rPr>
      </w:r>
      <w:r/>
    </w:p>
    <w:p>
      <w:pPr>
        <w:pStyle w:val="982"/>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sz w:val="24"/>
          <w:highlight w:val="none"/>
        </w:rPr>
        <w:t xml:space="preserve">否则不得享受相关中小企业扶持政策。</w:t>
      </w:r>
      <w:r>
        <w:rPr>
          <w:sz w:val="24"/>
          <w:highlight w:val="none"/>
        </w:rPr>
      </w:r>
      <w:r/>
    </w:p>
    <w:p>
      <w:pPr>
        <w:pStyle w:val="982"/>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rPr>
          <w:sz w:val="24"/>
          <w:highlight w:val="none"/>
        </w:rPr>
      </w:r>
      <w:r/>
    </w:p>
    <w:p>
      <w:pPr>
        <w:pStyle w:val="982"/>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982"/>
        <w:spacing w:line="360" w:lineRule="auto"/>
        <w:tabs>
          <w:tab w:val="left" w:pos="5580" w:leader="none"/>
        </w:tabs>
        <w:rPr>
          <w:sz w:val="24"/>
          <w:highlight w:val="none"/>
        </w:rPr>
      </w:pPr>
      <w:r>
        <w:rPr>
          <w:sz w:val="24"/>
          <w:highlight w:val="none"/>
        </w:rPr>
        <w:t xml:space="preserve">（4）其它</w:t>
      </w:r>
      <w:r>
        <w:rPr>
          <w:sz w:val="24"/>
          <w:highlight w:val="none"/>
        </w:rPr>
      </w:r>
      <w:r/>
    </w:p>
    <w:p>
      <w:pPr>
        <w:pStyle w:val="982"/>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982"/>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82"/>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982"/>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982"/>
        <w:spacing w:line="360" w:lineRule="auto"/>
        <w:tabs>
          <w:tab w:val="left" w:pos="5580" w:leader="none"/>
        </w:tabs>
        <w:rPr>
          <w:sz w:val="24"/>
          <w:highlight w:val="none"/>
        </w:rPr>
      </w:pPr>
      <w:r>
        <w:rPr>
          <w:sz w:val="24"/>
          <w:highlight w:val="none"/>
        </w:rPr>
      </w:r>
      <w:r/>
    </w:p>
    <w:p>
      <w:pPr>
        <w:pStyle w:val="982"/>
        <w:jc w:val="left"/>
        <w:widowControl/>
        <w:rPr>
          <w:b/>
          <w:bCs/>
          <w:sz w:val="72"/>
          <w:szCs w:val="72"/>
          <w:highlight w:val="none"/>
        </w:rPr>
      </w:pPr>
      <w:r>
        <w:rPr>
          <w:sz w:val="24"/>
          <w:highlight w:val="none"/>
        </w:rPr>
        <w:br w:type="page" w:clear="all"/>
      </w:r>
      <w:r>
        <w:rPr>
          <w:b/>
          <w:bCs/>
          <w:sz w:val="72"/>
          <w:szCs w:val="72"/>
          <w:highlight w:val="none"/>
        </w:rPr>
      </w:r>
      <w:r/>
    </w:p>
    <w:p>
      <w:pPr>
        <w:pStyle w:val="982"/>
        <w:jc w:val="center"/>
        <w:spacing w:before="240" w:after="240" w:line="360" w:lineRule="auto"/>
        <w:rPr>
          <w:b/>
          <w:bCs/>
          <w:sz w:val="36"/>
          <w:szCs w:val="36"/>
          <w:highlight w:val="none"/>
        </w:rPr>
      </w:pPr>
      <w:r>
        <w:rPr>
          <w:rFonts w:hint="eastAsia"/>
          <w:b/>
          <w:bCs/>
          <w:sz w:val="36"/>
          <w:szCs w:val="36"/>
          <w:highlight w:val="none"/>
        </w:rPr>
        <w:t xml:space="preserve">中小企业声明函（工程、服务）格式</w:t>
      </w:r>
      <w:r>
        <w:rPr>
          <w:b/>
          <w:bCs/>
          <w:sz w:val="36"/>
          <w:szCs w:val="36"/>
          <w:highlight w:val="none"/>
        </w:rPr>
      </w:r>
      <w:r/>
    </w:p>
    <w:p>
      <w:pPr>
        <w:pStyle w:val="982"/>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982"/>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82"/>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82"/>
        <w:ind w:firstLine="504"/>
        <w:spacing w:line="360" w:lineRule="auto"/>
        <w:rPr>
          <w:spacing w:val="6"/>
          <w:sz w:val="24"/>
          <w:highlight w:val="none"/>
        </w:rPr>
      </w:pPr>
      <w:r>
        <w:rPr>
          <w:spacing w:val="6"/>
          <w:sz w:val="24"/>
          <w:highlight w:val="none"/>
        </w:rPr>
      </w:r>
      <w:r/>
    </w:p>
    <w:p>
      <w:pPr>
        <w:pStyle w:val="982"/>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82"/>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82"/>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82"/>
        <w:ind w:right="360" w:firstLine="480"/>
        <w:jc w:val="right"/>
        <w:spacing w:line="360" w:lineRule="auto"/>
        <w:rPr>
          <w:sz w:val="24"/>
          <w:highlight w:val="none"/>
        </w:rPr>
      </w:pPr>
      <w:r>
        <w:rPr>
          <w:sz w:val="24"/>
          <w:highlight w:val="none"/>
        </w:rPr>
      </w:r>
      <w:r/>
    </w:p>
    <w:p>
      <w:pPr>
        <w:pStyle w:val="982"/>
        <w:ind w:right="360" w:firstLine="480"/>
        <w:jc w:val="right"/>
        <w:spacing w:line="360" w:lineRule="auto"/>
        <w:rPr>
          <w:sz w:val="24"/>
          <w:highlight w:val="none"/>
        </w:rPr>
      </w:pPr>
      <w:r>
        <w:rPr>
          <w:sz w:val="24"/>
          <w:highlight w:val="none"/>
        </w:rPr>
        <w:t xml:space="preserve">企业名称（加盖公章）：________</w:t>
      </w:r>
      <w:r>
        <w:rPr>
          <w:sz w:val="24"/>
          <w:highlight w:val="none"/>
        </w:rPr>
      </w:r>
      <w:r/>
    </w:p>
    <w:p>
      <w:pPr>
        <w:pStyle w:val="982"/>
        <w:ind w:right="360" w:firstLine="480"/>
        <w:jc w:val="right"/>
        <w:spacing w:line="360" w:lineRule="auto"/>
        <w:rPr>
          <w:sz w:val="24"/>
          <w:highlight w:val="none"/>
        </w:rPr>
      </w:pPr>
      <w:r>
        <w:rPr>
          <w:sz w:val="24"/>
          <w:highlight w:val="none"/>
        </w:rPr>
        <w:t xml:space="preserve">日 期：________</w:t>
      </w:r>
      <w:r>
        <w:rPr>
          <w:sz w:val="24"/>
          <w:highlight w:val="none"/>
        </w:rPr>
      </w:r>
      <w:r/>
    </w:p>
    <w:p>
      <w:pPr>
        <w:pStyle w:val="982"/>
        <w:jc w:val="left"/>
        <w:rPr>
          <w:sz w:val="24"/>
          <w:szCs w:val="21"/>
          <w:highlight w:val="none"/>
        </w:rPr>
      </w:pPr>
      <w:r>
        <w:rPr>
          <w:sz w:val="24"/>
          <w:szCs w:val="21"/>
          <w:highlight w:val="none"/>
        </w:rPr>
      </w:r>
      <w:r/>
    </w:p>
    <w:p>
      <w:pPr>
        <w:pStyle w:val="982"/>
        <w:jc w:val="left"/>
        <w:rPr>
          <w:sz w:val="24"/>
          <w:szCs w:val="21"/>
          <w:highlight w:val="none"/>
        </w:rPr>
      </w:pPr>
      <w:r>
        <w:rPr>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82"/>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rPr>
                <w:szCs w:val="21"/>
                <w:highlight w:val="none"/>
              </w:rPr>
            </w:r>
            <w:r/>
          </w:p>
        </w:tc>
      </w:tr>
    </w:tbl>
    <w:p>
      <w:pPr>
        <w:pStyle w:val="982"/>
        <w:jc w:val="left"/>
        <w:rPr>
          <w:szCs w:val="21"/>
          <w:highlight w:val="none"/>
          <w:vertAlign w:val="superscript"/>
        </w:rPr>
      </w:pPr>
      <w:r>
        <w:rPr>
          <w:szCs w:val="21"/>
          <w:highlight w:val="none"/>
          <w:vertAlign w:val="superscript"/>
        </w:rPr>
      </w:r>
      <w:r/>
    </w:p>
    <w:p>
      <w:pPr>
        <w:pStyle w:val="982"/>
        <w:ind w:right="360" w:firstLine="480"/>
        <w:jc w:val="right"/>
        <w:spacing w:line="360" w:lineRule="auto"/>
        <w:rPr>
          <w:sz w:val="24"/>
          <w:highlight w:val="none"/>
        </w:rPr>
      </w:pPr>
      <w:r>
        <w:rPr>
          <w:sz w:val="24"/>
          <w:highlight w:val="none"/>
        </w:rPr>
      </w:r>
      <w:r/>
    </w:p>
    <w:p>
      <w:pPr>
        <w:pStyle w:val="982"/>
        <w:jc w:val="center"/>
        <w:spacing w:before="240" w:after="240" w:line="360" w:lineRule="auto"/>
        <w:rPr>
          <w:rFonts w:hint="eastAsia"/>
          <w:sz w:val="24"/>
          <w:szCs w:val="20"/>
          <w:highlight w:val="none"/>
        </w:rPr>
      </w:pPr>
      <w:r>
        <w:rPr>
          <w:rFonts w:hint="eastAsia"/>
          <w:sz w:val="24"/>
          <w:szCs w:val="20"/>
          <w:highlight w:val="none"/>
        </w:rPr>
      </w:r>
      <w:r/>
    </w:p>
    <w:p>
      <w:pPr>
        <w:pStyle w:val="982"/>
        <w:jc w:val="center"/>
        <w:spacing w:before="240" w:after="240" w:line="360" w:lineRule="auto"/>
        <w:rPr>
          <w:rFonts w:hint="eastAsia"/>
          <w:sz w:val="24"/>
          <w:szCs w:val="20"/>
          <w:highlight w:val="none"/>
        </w:rPr>
      </w:pPr>
      <w:r>
        <w:rPr>
          <w:rFonts w:hint="eastAsia"/>
          <w:sz w:val="24"/>
          <w:szCs w:val="20"/>
          <w:highlight w:val="none"/>
        </w:rPr>
      </w:r>
      <w:r/>
    </w:p>
    <w:p>
      <w:pPr>
        <w:pStyle w:val="982"/>
        <w:jc w:val="center"/>
        <w:spacing w:before="240" w:after="240" w:line="360" w:lineRule="auto"/>
        <w:rPr>
          <w:rFonts w:hint="eastAsia"/>
          <w:sz w:val="24"/>
          <w:szCs w:val="20"/>
          <w:highlight w:val="none"/>
        </w:rPr>
      </w:pPr>
      <w:r>
        <w:rPr>
          <w:rFonts w:hint="eastAsia"/>
          <w:sz w:val="24"/>
          <w:szCs w:val="20"/>
          <w:highlight w:val="none"/>
        </w:rPr>
      </w:r>
      <w:r/>
    </w:p>
    <w:p>
      <w:pPr>
        <w:pStyle w:val="982"/>
        <w:jc w:val="left"/>
        <w:widowControl/>
        <w:rPr>
          <w:rFonts w:hint="eastAsia"/>
          <w:b/>
          <w:bCs/>
          <w:sz w:val="72"/>
          <w:szCs w:val="72"/>
          <w:highlight w:val="none"/>
        </w:rPr>
      </w:pPr>
      <w:r>
        <w:rPr>
          <w:rFonts w:hint="eastAsia"/>
          <w:b/>
          <w:bCs/>
          <w:sz w:val="72"/>
          <w:szCs w:val="72"/>
          <w:highlight w:val="none"/>
        </w:rPr>
      </w:r>
      <w:r/>
    </w:p>
    <w:p>
      <w:pPr>
        <w:pStyle w:val="982"/>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rPr>
          <w:b/>
          <w:sz w:val="36"/>
          <w:szCs w:val="36"/>
          <w:highlight w:val="none"/>
        </w:rPr>
      </w:r>
      <w:r/>
    </w:p>
    <w:p>
      <w:pPr>
        <w:pStyle w:val="982"/>
        <w:jc w:val="center"/>
        <w:rPr>
          <w:sz w:val="36"/>
          <w:szCs w:val="36"/>
          <w:highlight w:val="none"/>
        </w:rPr>
      </w:pPr>
      <w:r>
        <w:rPr>
          <w:sz w:val="36"/>
          <w:szCs w:val="36"/>
          <w:highlight w:val="none"/>
        </w:rPr>
      </w:r>
      <w:r/>
    </w:p>
    <w:p>
      <w:pPr>
        <w:pStyle w:val="98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8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8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8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82"/>
        <w:ind w:firstLine="504"/>
        <w:spacing w:line="588" w:lineRule="exact"/>
        <w:rPr>
          <w:spacing w:val="6"/>
          <w:sz w:val="24"/>
          <w:highlight w:val="none"/>
        </w:rPr>
      </w:pPr>
      <w:r>
        <w:rPr>
          <w:spacing w:val="6"/>
          <w:sz w:val="24"/>
          <w:highlight w:val="none"/>
        </w:rPr>
      </w:r>
      <w:r/>
    </w:p>
    <w:p>
      <w:pPr>
        <w:pStyle w:val="982"/>
        <w:ind w:firstLine="504"/>
        <w:spacing w:line="588" w:lineRule="exact"/>
        <w:rPr>
          <w:spacing w:val="6"/>
          <w:sz w:val="24"/>
          <w:highlight w:val="none"/>
        </w:rPr>
      </w:pPr>
      <w:r>
        <w:rPr>
          <w:spacing w:val="6"/>
          <w:sz w:val="24"/>
          <w:highlight w:val="none"/>
        </w:rPr>
      </w:r>
      <w:r/>
    </w:p>
    <w:p>
      <w:pPr>
        <w:pStyle w:val="982"/>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982"/>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82"/>
        <w:jc w:val="left"/>
        <w:widowControl/>
        <w:rPr>
          <w:sz w:val="24"/>
          <w:highlight w:val="none"/>
        </w:rPr>
      </w:pPr>
      <w:r>
        <w:rPr>
          <w:sz w:val="24"/>
          <w:szCs w:val="20"/>
          <w:highlight w:val="none"/>
        </w:rPr>
        <w:br w:type="page" w:clear="all"/>
      </w:r>
      <w:r>
        <w:rPr>
          <w:sz w:val="24"/>
          <w:highlight w:val="none"/>
        </w:rPr>
      </w:r>
      <w:r/>
    </w:p>
    <w:p>
      <w:pPr>
        <w:pStyle w:val="982"/>
        <w:spacing w:line="360" w:lineRule="auto"/>
        <w:rPr>
          <w:sz w:val="24"/>
          <w:szCs w:val="20"/>
          <w:highlight w:val="none"/>
        </w:rPr>
        <w:outlineLvl w:val="2"/>
      </w:pPr>
      <w:r>
        <w:rPr>
          <w:sz w:val="24"/>
          <w:szCs w:val="20"/>
          <w:highlight w:val="none"/>
        </w:rPr>
        <w:t xml:space="preserve">3 </w:t>
      </w:r>
      <w:r>
        <w:rPr>
          <w:sz w:val="24"/>
          <w:highlight w:val="none"/>
        </w:rPr>
        <w:t xml:space="preserve">本项目的特定资格要求</w:t>
      </w:r>
      <w:r>
        <w:rPr>
          <w:sz w:val="24"/>
          <w:szCs w:val="20"/>
          <w:highlight w:val="none"/>
        </w:rPr>
        <w:t xml:space="preserve">（如有）</w:t>
      </w:r>
      <w:r>
        <w:rPr>
          <w:sz w:val="24"/>
          <w:szCs w:val="20"/>
          <w:highlight w:val="none"/>
        </w:rPr>
      </w:r>
      <w:r/>
    </w:p>
    <w:p>
      <w:pPr>
        <w:pStyle w:val="982"/>
        <w:spacing w:line="360" w:lineRule="auto"/>
        <w:rPr>
          <w:sz w:val="24"/>
          <w:highlight w:val="none"/>
        </w:rPr>
        <w:outlineLvl w:val="2"/>
      </w:pPr>
      <w:r>
        <w:rPr>
          <w:sz w:val="24"/>
          <w:szCs w:val="20"/>
          <w:highlight w:val="none"/>
        </w:rPr>
        <w:t xml:space="preserve">3-1联合协议（</w:t>
      </w:r>
      <w:r>
        <w:rPr>
          <w:rFonts w:hint="eastAsia"/>
          <w:sz w:val="24"/>
          <w:szCs w:val="20"/>
          <w:highlight w:val="none"/>
        </w:rPr>
        <w:t xml:space="preserve">无</w:t>
      </w:r>
      <w:r>
        <w:rPr>
          <w:sz w:val="24"/>
          <w:szCs w:val="20"/>
          <w:highlight w:val="none"/>
        </w:rPr>
        <w:t xml:space="preserve">）</w:t>
      </w:r>
      <w:r>
        <w:rPr>
          <w:sz w:val="24"/>
          <w:highlight w:val="none"/>
        </w:rPr>
      </w:r>
      <w:r/>
    </w:p>
    <w:p>
      <w:pPr>
        <w:pStyle w:val="982"/>
        <w:jc w:val="left"/>
        <w:widowControl/>
        <w:rPr>
          <w:sz w:val="24"/>
          <w:highlight w:val="none"/>
        </w:rPr>
      </w:pPr>
      <w:r>
        <w:rPr>
          <w:sz w:val="24"/>
          <w:highlight w:val="none"/>
        </w:rPr>
      </w:r>
      <w:r/>
    </w:p>
    <w:p>
      <w:pPr>
        <w:pStyle w:val="982"/>
        <w:spacing w:line="360" w:lineRule="auto"/>
        <w:rPr>
          <w:sz w:val="24"/>
          <w:szCs w:val="20"/>
          <w:highlight w:val="none"/>
        </w:rPr>
        <w:outlineLvl w:val="2"/>
      </w:pPr>
      <w:r>
        <w:rPr>
          <w:sz w:val="24"/>
          <w:szCs w:val="20"/>
          <w:highlight w:val="none"/>
        </w:rPr>
        <w:t xml:space="preserve">3-2其他特定资格要求</w:t>
      </w:r>
      <w:r>
        <w:rPr>
          <w:sz w:val="24"/>
          <w:szCs w:val="20"/>
          <w:highlight w:val="none"/>
        </w:rPr>
      </w:r>
      <w:r/>
    </w:p>
    <w:p>
      <w:pPr>
        <w:pStyle w:val="982"/>
        <w:spacing w:line="360" w:lineRule="auto"/>
        <w:tabs>
          <w:tab w:val="left" w:pos="5580" w:leader="none"/>
        </w:tabs>
        <w:rPr>
          <w:rFonts w:hint="eastAsia"/>
          <w:sz w:val="24"/>
          <w:szCs w:val="20"/>
          <w:highlight w:val="none"/>
        </w:rPr>
      </w:pPr>
      <w:r>
        <w:rPr>
          <w:rFonts w:hint="eastAsia"/>
          <w:sz w:val="24"/>
          <w:szCs w:val="20"/>
          <w:highlight w:val="none"/>
        </w:rPr>
        <w:t xml:space="preserve">（1）供应商具有独立法人资格，持有有效营业执照或事业单位法人证书。</w:t>
      </w:r>
      <w:r>
        <w:rPr>
          <w:rFonts w:hint="eastAsia"/>
          <w:sz w:val="24"/>
          <w:szCs w:val="20"/>
          <w:highlight w:val="none"/>
        </w:rPr>
      </w:r>
      <w:r/>
    </w:p>
    <w:p>
      <w:pPr>
        <w:pStyle w:val="982"/>
        <w:spacing w:line="360" w:lineRule="auto"/>
        <w:tabs>
          <w:tab w:val="left" w:pos="5580" w:leader="none"/>
        </w:tabs>
        <w:rPr>
          <w:rFonts w:hint="eastAsia"/>
          <w:sz w:val="24"/>
          <w:szCs w:val="20"/>
          <w:highlight w:val="none"/>
        </w:rPr>
      </w:pPr>
      <w:r>
        <w:rPr>
          <w:rFonts w:hint="eastAsia"/>
          <w:sz w:val="24"/>
          <w:szCs w:val="20"/>
          <w:highlight w:val="none"/>
        </w:rPr>
        <w:t xml:space="preserve">（2）供应商具有交通主管部门核发的有效的公路养护作业交通安全设施养护资质。</w:t>
      </w:r>
      <w:r>
        <w:rPr>
          <w:rFonts w:hint="eastAsia"/>
          <w:sz w:val="24"/>
          <w:szCs w:val="20"/>
          <w:highlight w:val="none"/>
        </w:rPr>
      </w:r>
      <w:r/>
    </w:p>
    <w:p>
      <w:pPr>
        <w:pStyle w:val="982"/>
        <w:spacing w:line="360" w:lineRule="auto"/>
        <w:tabs>
          <w:tab w:val="left" w:pos="5580" w:leader="none"/>
        </w:tabs>
        <w:rPr>
          <w:rFonts w:hint="eastAsia"/>
          <w:sz w:val="24"/>
          <w:szCs w:val="20"/>
          <w:highlight w:val="none"/>
        </w:rPr>
      </w:pPr>
      <w:r>
        <w:rPr>
          <w:rFonts w:hint="eastAsia"/>
          <w:sz w:val="24"/>
          <w:szCs w:val="20"/>
          <w:highlight w:val="none"/>
        </w:rPr>
        <w:t xml:space="preserve">（3）供应商具备省级及以上有关主管部门核发的有效的《安全生产许可证》。</w:t>
      </w:r>
      <w:r>
        <w:rPr>
          <w:rFonts w:hint="eastAsia"/>
          <w:sz w:val="24"/>
          <w:szCs w:val="20"/>
          <w:highlight w:val="none"/>
        </w:rPr>
      </w:r>
      <w:r/>
    </w:p>
    <w:p>
      <w:pPr>
        <w:pStyle w:val="982"/>
        <w:spacing w:line="360" w:lineRule="auto"/>
        <w:tabs>
          <w:tab w:val="left" w:pos="5580" w:leader="none"/>
        </w:tabs>
        <w:rPr>
          <w:sz w:val="24"/>
          <w:szCs w:val="20"/>
          <w:highlight w:val="none"/>
        </w:rPr>
      </w:pPr>
      <w:r>
        <w:rPr>
          <w:sz w:val="24"/>
          <w:szCs w:val="20"/>
          <w:highlight w:val="none"/>
        </w:rPr>
      </w:r>
      <w:r/>
    </w:p>
    <w:p>
      <w:pPr>
        <w:pStyle w:val="982"/>
        <w:spacing w:line="360" w:lineRule="auto"/>
        <w:rPr>
          <w:b/>
          <w:sz w:val="24"/>
          <w:highlight w:val="none"/>
        </w:rPr>
        <w:outlineLvl w:val="2"/>
      </w:pPr>
      <w:r>
        <w:rPr>
          <w:b/>
          <w:sz w:val="24"/>
          <w:highlight w:val="none"/>
        </w:rPr>
        <w:br w:type="page" w:clear="all"/>
      </w:r>
      <w:bookmarkStart w:id="655" w:name="_Toc150480795"/>
      <w:r/>
      <w:bookmarkStart w:id="656" w:name="_Toc226309801"/>
      <w:r/>
      <w:bookmarkStart w:id="657" w:name="_Toc226965830"/>
      <w:r/>
      <w:bookmarkStart w:id="658" w:name="_Toc226337253"/>
      <w:r/>
      <w:bookmarkStart w:id="659" w:name="_Toc480942350"/>
      <w:r/>
      <w:bookmarkStart w:id="660" w:name="_Ref467988705"/>
      <w:r/>
      <w:bookmarkStart w:id="661" w:name="_Toc264969247"/>
      <w:r/>
      <w:bookmarkStart w:id="662" w:name="_Toc305158899"/>
      <w:r/>
      <w:bookmarkStart w:id="663" w:name="_Toc142311059"/>
      <w:r/>
      <w:bookmarkStart w:id="664" w:name="_Toc226965747"/>
      <w:r/>
      <w:bookmarkStart w:id="665" w:name="_Toc195842922"/>
      <w:r/>
      <w:bookmarkStart w:id="666" w:name="_Toc150774762"/>
      <w:r/>
      <w:bookmarkStart w:id="667" w:name="_Toc520356218"/>
      <w:r/>
      <w:bookmarkStart w:id="668" w:name="_Toc127151557"/>
      <w:r/>
      <w:bookmarkStart w:id="669" w:name="_Toc265228395"/>
      <w:r/>
      <w:bookmarkStart w:id="670" w:name="_Toc305158825"/>
      <w:r>
        <w:rPr>
          <w:b/>
          <w:sz w:val="24"/>
          <w:highlight w:val="none"/>
        </w:rPr>
      </w:r>
      <w:r/>
    </w:p>
    <w:p>
      <w:pPr>
        <w:pStyle w:val="982"/>
        <w:spacing w:line="360" w:lineRule="auto"/>
        <w:rPr>
          <w:sz w:val="24"/>
          <w:szCs w:val="20"/>
          <w:highlight w:val="none"/>
        </w:rPr>
        <w:outlineLvl w:val="2"/>
      </w:pPr>
      <w:r>
        <w:rPr>
          <w:rFonts w:hint="eastAsia"/>
          <w:sz w:val="24"/>
          <w:highlight w:val="none"/>
        </w:rPr>
        <w:t xml:space="preserve">4</w:t>
      </w:r>
      <w:r>
        <w:rPr>
          <w:sz w:val="24"/>
          <w:szCs w:val="20"/>
          <w:highlight w:val="none"/>
        </w:rPr>
        <w:t xml:space="preserve">  </w:t>
      </w:r>
      <w:r>
        <w:rPr>
          <w:sz w:val="24"/>
          <w:highlight w:val="none"/>
        </w:rPr>
        <w:t xml:space="preserve">响应</w:t>
      </w:r>
      <w:r>
        <w:rPr>
          <w:rFonts w:hint="eastAsia"/>
          <w:sz w:val="24"/>
          <w:highlight w:val="none"/>
        </w:rPr>
        <w:t xml:space="preserve">函</w:t>
      </w:r>
      <w:r>
        <w:rPr>
          <w:sz w:val="24"/>
          <w:szCs w:val="20"/>
          <w:highlight w:val="none"/>
        </w:rPr>
        <w:t xml:space="preserve">（实质性格式）</w:t>
      </w:r>
      <w:r>
        <w:rPr>
          <w:sz w:val="24"/>
          <w:szCs w:val="20"/>
          <w:highlight w:val="none"/>
        </w:rPr>
      </w:r>
      <w:r/>
    </w:p>
    <w:p>
      <w:pPr>
        <w:pStyle w:val="982"/>
        <w:spacing w:line="360" w:lineRule="auto"/>
        <w:tabs>
          <w:tab w:val="left" w:pos="5580" w:leader="none"/>
        </w:tabs>
        <w:rPr>
          <w:sz w:val="24"/>
          <w:highlight w:val="none"/>
        </w:rPr>
      </w:pPr>
      <w:r>
        <w:rPr>
          <w:sz w:val="24"/>
          <w:highlight w:val="none"/>
        </w:rPr>
      </w:r>
      <w:r/>
    </w:p>
    <w:p>
      <w:pPr>
        <w:pStyle w:val="982"/>
        <w:jc w:val="center"/>
        <w:spacing w:line="360" w:lineRule="auto"/>
        <w:rPr>
          <w:b/>
          <w:sz w:val="36"/>
          <w:szCs w:val="36"/>
          <w:highlight w:val="none"/>
        </w:rPr>
      </w:pPr>
      <w:r>
        <w:rPr>
          <w:rFonts w:hint="eastAsia"/>
          <w:b/>
          <w:sz w:val="36"/>
          <w:szCs w:val="36"/>
          <w:highlight w:val="none"/>
        </w:rPr>
        <w:t xml:space="preserve">响应函</w:t>
      </w:r>
      <w:r>
        <w:rPr>
          <w:b/>
          <w:sz w:val="36"/>
          <w:szCs w:val="36"/>
          <w:highlight w:val="none"/>
        </w:rPr>
      </w:r>
      <w:r/>
    </w:p>
    <w:p>
      <w:pPr>
        <w:pStyle w:val="982"/>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rPr>
          <w:sz w:val="24"/>
          <w:highlight w:val="none"/>
        </w:rPr>
      </w:r>
      <w:r/>
    </w:p>
    <w:p>
      <w:pPr>
        <w:pStyle w:val="982"/>
        <w:spacing w:line="360" w:lineRule="auto"/>
        <w:tabs>
          <w:tab w:val="left" w:pos="5580" w:leader="none"/>
        </w:tabs>
        <w:rPr>
          <w:sz w:val="24"/>
          <w:szCs w:val="20"/>
          <w:highlight w:val="none"/>
        </w:rPr>
      </w:pPr>
      <w:r>
        <w:rPr>
          <w:sz w:val="24"/>
          <w:szCs w:val="20"/>
          <w:highlight w:val="none"/>
        </w:rPr>
      </w:r>
      <w:r/>
    </w:p>
    <w:p>
      <w:pPr>
        <w:pStyle w:val="982"/>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rPr>
          <w:sz w:val="24"/>
          <w:szCs w:val="20"/>
          <w:highlight w:val="none"/>
        </w:rPr>
      </w:r>
      <w:r/>
    </w:p>
    <w:p>
      <w:pPr>
        <w:pStyle w:val="982"/>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rPr>
          <w:sz w:val="24"/>
          <w:szCs w:val="20"/>
          <w:highlight w:val="none"/>
        </w:rPr>
      </w:r>
      <w:r/>
    </w:p>
    <w:p>
      <w:pPr>
        <w:pStyle w:val="982"/>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rPr>
          <w:sz w:val="24"/>
          <w:szCs w:val="20"/>
          <w:highlight w:val="none"/>
        </w:rPr>
      </w:r>
      <w:r/>
    </w:p>
    <w:p>
      <w:pPr>
        <w:pStyle w:val="982"/>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rPr>
          <w:sz w:val="24"/>
          <w:szCs w:val="20"/>
          <w:highlight w:val="none"/>
        </w:rPr>
      </w:r>
      <w:r/>
    </w:p>
    <w:p>
      <w:pPr>
        <w:pStyle w:val="982"/>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rPr>
          <w:sz w:val="24"/>
          <w:szCs w:val="20"/>
          <w:highlight w:val="none"/>
        </w:rPr>
      </w:r>
      <w:r/>
    </w:p>
    <w:p>
      <w:pPr>
        <w:pStyle w:val="982"/>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rPr>
          <w:sz w:val="24"/>
          <w:highlight w:val="none"/>
        </w:rPr>
      </w:r>
      <w:r/>
    </w:p>
    <w:p>
      <w:pPr>
        <w:pStyle w:val="982"/>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rPr>
          <w:sz w:val="24"/>
          <w:highlight w:val="none"/>
        </w:rPr>
      </w:r>
      <w:r/>
    </w:p>
    <w:p>
      <w:pPr>
        <w:pStyle w:val="982"/>
        <w:ind w:firstLine="480"/>
        <w:spacing w:line="360" w:lineRule="auto"/>
        <w:rPr>
          <w:sz w:val="24"/>
          <w:highlight w:val="none"/>
        </w:rPr>
      </w:pPr>
      <w:r>
        <w:rPr>
          <w:sz w:val="24"/>
          <w:highlight w:val="none"/>
        </w:rPr>
        <w:t xml:space="preserve">与本响应有关的一切正式往来信函请寄：</w:t>
      </w:r>
      <w:r>
        <w:rPr>
          <w:sz w:val="24"/>
          <w:highlight w:val="none"/>
        </w:rPr>
      </w:r>
      <w:r/>
    </w:p>
    <w:p>
      <w:pPr>
        <w:pStyle w:val="982"/>
        <w:ind w:left="420"/>
        <w:spacing w:line="360" w:lineRule="auto"/>
        <w:tabs>
          <w:tab w:val="left" w:pos="5580" w:leader="none"/>
        </w:tabs>
        <w:rPr>
          <w:sz w:val="24"/>
          <w:szCs w:val="20"/>
          <w:highlight w:val="none"/>
        </w:rPr>
      </w:pPr>
      <w:r>
        <w:rPr>
          <w:sz w:val="24"/>
          <w:szCs w:val="20"/>
          <w:highlight w:val="none"/>
        </w:rPr>
      </w:r>
      <w:r/>
    </w:p>
    <w:p>
      <w:pPr>
        <w:pStyle w:val="982"/>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rPr>
          <w:sz w:val="24"/>
          <w:szCs w:val="20"/>
          <w:highlight w:val="none"/>
        </w:rPr>
      </w:r>
      <w:r/>
    </w:p>
    <w:p>
      <w:pPr>
        <w:pStyle w:val="982"/>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rPr>
          <w:sz w:val="24"/>
          <w:szCs w:val="20"/>
          <w:highlight w:val="none"/>
        </w:rPr>
      </w:r>
      <w:r/>
    </w:p>
    <w:p>
      <w:pPr>
        <w:pStyle w:val="982"/>
        <w:ind w:left="420"/>
        <w:spacing w:line="360" w:lineRule="auto"/>
        <w:tabs>
          <w:tab w:val="left" w:pos="5580" w:leader="none"/>
        </w:tabs>
        <w:rPr>
          <w:sz w:val="24"/>
          <w:szCs w:val="20"/>
          <w:highlight w:val="none"/>
        </w:rPr>
      </w:pPr>
      <w:r>
        <w:rPr>
          <w:sz w:val="24"/>
          <w:szCs w:val="20"/>
          <w:highlight w:val="none"/>
        </w:rPr>
      </w:r>
      <w:r/>
    </w:p>
    <w:p>
      <w:pPr>
        <w:pStyle w:val="982"/>
        <w:ind w:left="420"/>
        <w:spacing w:line="360" w:lineRule="auto"/>
        <w:tabs>
          <w:tab w:val="left" w:pos="5580" w:leader="none"/>
        </w:tabs>
        <w:rPr>
          <w:sz w:val="24"/>
          <w:szCs w:val="20"/>
          <w:highlight w:val="none"/>
        </w:rPr>
      </w:pPr>
      <w:r>
        <w:rPr>
          <w:sz w:val="24"/>
          <w:szCs w:val="20"/>
          <w:highlight w:val="none"/>
        </w:rPr>
        <w:t xml:space="preserve">供应商名称（加盖公章） ___________</w:t>
      </w:r>
      <w:r>
        <w:rPr>
          <w:sz w:val="24"/>
          <w:szCs w:val="20"/>
          <w:highlight w:val="none"/>
        </w:rPr>
      </w:r>
      <w:r/>
    </w:p>
    <w:p>
      <w:pPr>
        <w:pStyle w:val="982"/>
        <w:ind w:left="420"/>
        <w:spacing w:line="360" w:lineRule="auto"/>
        <w:tabs>
          <w:tab w:val="left" w:pos="5580" w:leader="none"/>
        </w:tabs>
        <w:rPr>
          <w:sz w:val="24"/>
          <w:szCs w:val="20"/>
          <w:highlight w:val="none"/>
        </w:rPr>
      </w:pPr>
      <w:r>
        <w:rPr>
          <w:sz w:val="24"/>
          <w:szCs w:val="20"/>
          <w:highlight w:val="none"/>
        </w:rPr>
        <w:t xml:space="preserve">日期：_____年______月______日    </w:t>
      </w:r>
      <w:r>
        <w:rPr>
          <w:sz w:val="24"/>
          <w:szCs w:val="20"/>
          <w:highlight w:val="none"/>
        </w:rPr>
      </w:r>
      <w:r/>
    </w:p>
    <w:p>
      <w:pPr>
        <w:pStyle w:val="982"/>
        <w:ind w:left="420"/>
        <w:spacing w:line="360" w:lineRule="auto"/>
        <w:tabs>
          <w:tab w:val="left" w:pos="5580" w:leader="none"/>
        </w:tabs>
        <w:rPr>
          <w:sz w:val="24"/>
          <w:szCs w:val="20"/>
          <w:highlight w:val="none"/>
          <w:u w:val="single"/>
        </w:rPr>
      </w:pPr>
      <w:r>
        <w:rPr>
          <w:sz w:val="24"/>
          <w:szCs w:val="20"/>
          <w:highlight w:val="none"/>
          <w:u w:val="single"/>
        </w:rPr>
      </w:r>
      <w:r/>
    </w:p>
    <w:p>
      <w:pPr>
        <w:pStyle w:val="982"/>
        <w:jc w:val="left"/>
        <w:widowControl/>
        <w:rPr>
          <w:rFonts w:hint="eastAsia"/>
          <w:sz w:val="24"/>
          <w:highlight w:val="none"/>
        </w:rPr>
      </w:pPr>
      <w:r/>
      <w:bookmarkStart w:id="671" w:name="_Hlt520355938"/>
      <w:r/>
      <w:bookmarkEnd w:id="671"/>
      <w:r/>
      <w:bookmarkStart w:id="672" w:name="_Hlt520356243"/>
      <w:r/>
      <w:bookmarkEnd w:id="672"/>
      <w:r>
        <w:rPr>
          <w:sz w:val="24"/>
          <w:highlight w:val="none"/>
        </w:rPr>
        <w:br w:type="page" w:clear="all"/>
      </w:r>
      <w:r>
        <w:rPr>
          <w:rFonts w:hint="eastAsia"/>
          <w:sz w:val="24"/>
          <w:highlight w:val="none"/>
        </w:rPr>
      </w:r>
      <w:r/>
    </w:p>
    <w:p>
      <w:pPr>
        <w:pStyle w:val="982"/>
        <w:jc w:val="left"/>
        <w:widowControl/>
        <w:rPr>
          <w:rFonts w:hint="eastAsia"/>
          <w:sz w:val="24"/>
          <w:highlight w:val="none"/>
        </w:rPr>
      </w:pP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98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8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8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8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8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8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98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82"/>
        <w:spacing w:line="560" w:lineRule="exact"/>
        <w:rPr>
          <w:rFonts w:ascii="宋体" w:hAnsi="宋体"/>
          <w:sz w:val="24"/>
          <w:highlight w:val="none"/>
        </w:rPr>
      </w:pPr>
      <w:r>
        <w:rPr>
          <w:rFonts w:ascii="宋体" w:hAnsi="宋体"/>
          <w:sz w:val="24"/>
          <w:highlight w:val="none"/>
        </w:rPr>
      </w:r>
      <w:r/>
    </w:p>
    <w:p>
      <w:pPr>
        <w:pStyle w:val="101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982"/>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98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8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r>
      <w:r/>
    </w:p>
    <w:p>
      <w:pPr>
        <w:pStyle w:val="982"/>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982"/>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982"/>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法定代表人资格证明书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i/>
          <w:sz w:val="24"/>
          <w:szCs w:val="20"/>
          <w:highlight w:val="none"/>
          <w:u w:val="singl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r>
      <w:r/>
    </w:p>
    <w:p>
      <w:pPr>
        <w:pStyle w:val="982"/>
        <w:jc w:val="left"/>
        <w:widowControl/>
        <w:rPr>
          <w:rFonts w:hint="eastAsia"/>
          <w:sz w:val="24"/>
          <w:highlight w:val="none"/>
        </w:rPr>
      </w:pPr>
      <w:r>
        <w:rPr>
          <w:rFonts w:hint="eastAsia"/>
          <w:sz w:val="24"/>
          <w:highlight w:val="none"/>
        </w:rPr>
        <w:t xml:space="preserve">6  政府采购供应商信用承诺书</w:t>
      </w:r>
      <w:r>
        <w:rPr>
          <w:sz w:val="24"/>
          <w:szCs w:val="20"/>
          <w:highlight w:val="none"/>
        </w:rPr>
        <w:t xml:space="preserve">（实质性格式）</w:t>
      </w:r>
      <w:r>
        <w:rPr>
          <w:rFonts w:hint="eastAsia"/>
          <w:sz w:val="24"/>
          <w:highlight w:val="none"/>
        </w:rPr>
      </w:r>
      <w:r/>
    </w:p>
    <w:p>
      <w:pPr>
        <w:pStyle w:val="98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8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82"/>
        <w:ind w:firstLine="640"/>
        <w:rPr>
          <w:highlight w:val="none"/>
        </w:rPr>
      </w:pPr>
      <w:r>
        <w:rPr>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8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29"/>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8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98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82"/>
        <w:spacing w:line="360" w:lineRule="auto"/>
        <w:rPr>
          <w:sz w:val="24"/>
          <w:szCs w:val="20"/>
          <w:highlight w:val="none"/>
        </w:rPr>
        <w:outlineLvl w:val="2"/>
      </w:pPr>
      <w:r>
        <w:rPr>
          <w:sz w:val="24"/>
          <w:szCs w:val="20"/>
          <w:highlight w:val="none"/>
        </w:rPr>
        <w:br w:type="page" w:clear="all"/>
      </w:r>
      <w:r>
        <w:rPr>
          <w:sz w:val="24"/>
          <w:szCs w:val="20"/>
          <w:highlight w:val="none"/>
        </w:rPr>
      </w:r>
      <w:r/>
    </w:p>
    <w:p>
      <w:pPr>
        <w:pStyle w:val="982"/>
        <w:spacing w:line="360" w:lineRule="auto"/>
        <w:rPr>
          <w:sz w:val="24"/>
          <w:szCs w:val="20"/>
          <w:highlight w:val="none"/>
        </w:rPr>
        <w:outlineLvl w:val="2"/>
      </w:pPr>
      <w:r>
        <w:rPr>
          <w:sz w:val="24"/>
          <w:szCs w:val="20"/>
          <w:highlight w:val="none"/>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highlight w:val="none"/>
        </w:rPr>
      </w:r>
      <w:r/>
    </w:p>
    <w:p>
      <w:pPr>
        <w:pStyle w:val="982"/>
        <w:jc w:val="left"/>
        <w:spacing w:line="360" w:lineRule="auto"/>
        <w:tabs>
          <w:tab w:val="left" w:pos="1800" w:leader="none"/>
          <w:tab w:val="left" w:pos="5580" w:leader="none"/>
        </w:tabs>
        <w:rPr>
          <w:rFonts w:hint="eastAsia"/>
          <w:sz w:val="24"/>
          <w:highlight w:val="none"/>
        </w:rPr>
      </w:pPr>
      <w:r>
        <w:rPr>
          <w:rFonts w:hint="eastAsia"/>
          <w:sz w:val="24"/>
          <w:highlight w:val="none"/>
        </w:rPr>
      </w:r>
      <w:r/>
    </w:p>
    <w:p>
      <w:pPr>
        <w:pStyle w:val="982"/>
        <w:jc w:val="left"/>
        <w:spacing w:line="360" w:lineRule="auto"/>
        <w:tabs>
          <w:tab w:val="left" w:pos="1800" w:leader="none"/>
          <w:tab w:val="left" w:pos="5580" w:leader="none"/>
        </w:tabs>
        <w:rPr>
          <w:sz w:val="24"/>
          <w:highlight w:val="none"/>
        </w:rPr>
      </w:pPr>
      <w:r>
        <w:rPr>
          <w:rFonts w:hint="eastAsia"/>
          <w:sz w:val="24"/>
          <w:highlight w:val="none"/>
        </w:rPr>
        <w:t xml:space="preserve">格式见电子采购文件</w:t>
      </w:r>
      <w:r>
        <w:rPr>
          <w:sz w:val="24"/>
          <w:highlight w:val="none"/>
        </w:rPr>
      </w:r>
      <w:r/>
    </w:p>
    <w:p>
      <w:pPr>
        <w:pStyle w:val="982"/>
        <w:jc w:val="left"/>
        <w:widowControl/>
        <w:rPr>
          <w:sz w:val="24"/>
          <w:szCs w:val="20"/>
          <w:highlight w:val="none"/>
        </w:rPr>
      </w:pPr>
      <w:r/>
      <w:bookmarkStart w:id="673" w:name="_Toc265228397"/>
      <w:r/>
      <w:bookmarkStart w:id="674" w:name="_Toc127151558"/>
      <w:r/>
      <w:bookmarkStart w:id="675" w:name="_Toc195842924"/>
      <w:r/>
      <w:bookmarkStart w:id="676" w:name="_Toc264969249"/>
      <w:r/>
      <w:bookmarkStart w:id="677" w:name="_Toc226309803"/>
      <w:r/>
      <w:bookmarkStart w:id="678" w:name="_Toc226337255"/>
      <w:r/>
      <w:bookmarkStart w:id="679" w:name="_Toc226965832"/>
      <w:r/>
      <w:bookmarkStart w:id="680" w:name="_Toc142311060"/>
      <w:r/>
      <w:bookmarkStart w:id="681" w:name="_Toc305158901"/>
      <w:r/>
      <w:bookmarkStart w:id="682" w:name="_Toc305158827"/>
      <w:r/>
      <w:bookmarkStart w:id="683" w:name="_Toc150774763"/>
      <w:r/>
      <w:bookmarkStart w:id="684" w:name="_Toc150480796"/>
      <w:r/>
      <w:bookmarkStart w:id="685" w:name="_Toc226965749"/>
      <w:r>
        <w:rPr>
          <w:sz w:val="24"/>
          <w:szCs w:val="20"/>
          <w:highlight w:val="none"/>
        </w:rPr>
        <w:br w:type="page" w:clear="all"/>
      </w:r>
      <w:r>
        <w:rPr>
          <w:sz w:val="24"/>
          <w:szCs w:val="20"/>
          <w:highlight w:val="none"/>
        </w:rPr>
      </w:r>
      <w:r/>
    </w:p>
    <w:p>
      <w:pPr>
        <w:pStyle w:val="982"/>
        <w:spacing w:line="360" w:lineRule="auto"/>
        <w:rPr>
          <w:sz w:val="24"/>
          <w:szCs w:val="20"/>
          <w:highlight w:val="none"/>
        </w:rPr>
        <w:outlineLvl w:val="2"/>
      </w:pPr>
      <w:r>
        <w:rPr>
          <w:sz w:val="24"/>
          <w:szCs w:val="20"/>
          <w:highlight w:val="none"/>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highlight w:val="none"/>
        </w:rPr>
        <w:t xml:space="preserve">工程量清单</w:t>
      </w:r>
      <w:r>
        <w:rPr>
          <w:sz w:val="24"/>
          <w:szCs w:val="20"/>
          <w:highlight w:val="none"/>
        </w:rPr>
      </w:r>
      <w:r/>
    </w:p>
    <w:p>
      <w:pPr>
        <w:pStyle w:val="982"/>
        <w:spacing w:line="360" w:lineRule="auto"/>
        <w:rPr>
          <w:sz w:val="24"/>
          <w:szCs w:val="20"/>
          <w:highlight w:val="none"/>
        </w:rPr>
        <w:outlineLvl w:val="2"/>
      </w:pPr>
      <w:r>
        <w:rPr>
          <w:sz w:val="24"/>
          <w:szCs w:val="20"/>
          <w:highlight w:val="none"/>
        </w:rPr>
      </w:r>
      <w:r/>
    </w:p>
    <w:p>
      <w:pPr>
        <w:pStyle w:val="982"/>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r>
      <w:r/>
    </w:p>
    <w:p>
      <w:pPr>
        <w:pStyle w:val="982"/>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t xml:space="preserve">链接: https://pan.baidu.com/s/14I0XGjKwFlWo8-bL72uTGw </w:t>
      </w:r>
      <w:r>
        <w:rPr>
          <w:rFonts w:hint="eastAsia" w:ascii="宋体" w:hAnsi="宋体" w:eastAsia="宋体" w:cs="宋体"/>
          <w:sz w:val="24"/>
          <w:szCs w:val="20"/>
          <w:highlight w:val="none"/>
        </w:rPr>
      </w:r>
      <w:r/>
    </w:p>
    <w:p>
      <w:pPr>
        <w:pStyle w:val="982"/>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t xml:space="preserve">提取码: pw64</w:t>
      </w:r>
      <w:r>
        <w:rPr>
          <w:rFonts w:hint="eastAsia" w:ascii="宋体" w:hAnsi="宋体" w:eastAsia="宋体" w:cs="宋体"/>
          <w:sz w:val="24"/>
          <w:szCs w:val="20"/>
          <w:highlight w:val="none"/>
        </w:rPr>
      </w:r>
      <w:r/>
    </w:p>
    <w:p>
      <w:pPr>
        <w:pStyle w:val="982"/>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r>
      <w:r/>
    </w:p>
    <w:p>
      <w:pPr>
        <w:pStyle w:val="982"/>
        <w:spacing w:line="360" w:lineRule="auto"/>
        <w:rPr>
          <w:rFonts w:hint="eastAsia" w:ascii="宋体" w:hAnsi="宋体" w:eastAsia="宋体" w:cs="宋体"/>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134" w:left="1134" w:header="851" w:footer="851" w:gutter="0"/>
          <w:cols w:num="1" w:sep="0" w:space="1701" w:equalWidth="1"/>
          <w:docGrid w:linePitch="360"/>
        </w:sectPr>
        <w:outlineLvl w:val="2"/>
      </w:pPr>
      <w:r>
        <w:rPr>
          <w:rFonts w:hint="eastAsia" w:ascii="宋体" w:hAnsi="宋体" w:eastAsia="宋体" w:cs="宋体"/>
          <w:sz w:val="24"/>
          <w:szCs w:val="20"/>
          <w:highlight w:val="none"/>
        </w:rPr>
      </w:r>
      <w:r/>
    </w:p>
    <w:p>
      <w:pPr>
        <w:pStyle w:val="982"/>
        <w:spacing w:line="360" w:lineRule="auto"/>
        <w:rPr>
          <w:rFonts w:hint="eastAsia"/>
          <w:sz w:val="24"/>
          <w:szCs w:val="20"/>
          <w:highlight w:val="none"/>
        </w:rPr>
        <w:outlineLvl w:val="2"/>
      </w:pPr>
      <w:r>
        <w:rPr>
          <w:rFonts w:hint="eastAsia"/>
          <w:sz w:val="24"/>
          <w:szCs w:val="20"/>
          <w:highlight w:val="none"/>
        </w:rPr>
      </w:r>
      <w:r/>
    </w:p>
    <w:p>
      <w:pPr>
        <w:pStyle w:val="982"/>
        <w:ind w:firstLine="482"/>
        <w:spacing w:line="480" w:lineRule="auto"/>
        <w:rPr>
          <w:rFonts w:ascii="宋体" w:hAnsi="宋体"/>
          <w:sz w:val="24"/>
          <w:highlight w:val="none"/>
          <w:lang w:val="en-US" w:eastAsia="zh-CN"/>
        </w:rPr>
      </w:pPr>
      <w:r/>
      <w:bookmarkStart w:id="686" w:name="_Toc195842927"/>
      <w:r/>
      <w:bookmarkStart w:id="687" w:name="_Toc226965752"/>
      <w:r/>
      <w:bookmarkStart w:id="688" w:name="_Toc305158830"/>
      <w:r/>
      <w:bookmarkStart w:id="689" w:name="_Toc226965835"/>
      <w:r/>
      <w:bookmarkStart w:id="690" w:name="_Toc142311062"/>
      <w:r/>
      <w:bookmarkStart w:id="691" w:name="_Toc305158904"/>
      <w:r/>
      <w:bookmarkStart w:id="692" w:name="_Toc127151562"/>
      <w:r/>
      <w:bookmarkStart w:id="693" w:name="_Toc150774765"/>
      <w:r/>
      <w:bookmarkStart w:id="694" w:name="_Toc265228400"/>
      <w:r/>
      <w:bookmarkStart w:id="695" w:name="_Toc264969252"/>
      <w:r/>
      <w:bookmarkStart w:id="696" w:name="_Toc226337258"/>
      <w:r/>
      <w:bookmarkStart w:id="697" w:name="_Toc226309806"/>
      <w:r/>
      <w:bookmarkStart w:id="698" w:name="_Toc150480798"/>
      <w:r/>
      <w:bookmarkStart w:id="699" w:name="_Toc226965751"/>
      <w:r/>
      <w:bookmarkStart w:id="700" w:name="_Toc142311061"/>
      <w:r/>
      <w:bookmarkStart w:id="701" w:name="_Toc264969251"/>
      <w:r/>
      <w:bookmarkStart w:id="702" w:name="_Toc305158829"/>
      <w:r/>
      <w:bookmarkStart w:id="703" w:name="_Toc305158903"/>
      <w:r/>
      <w:bookmarkStart w:id="704" w:name="_Toc265228399"/>
      <w:r/>
      <w:bookmarkStart w:id="705" w:name="_Toc150774764"/>
      <w:r/>
      <w:bookmarkStart w:id="706" w:name="_Toc150480797"/>
      <w:r/>
      <w:bookmarkStart w:id="707" w:name="_Toc127151561"/>
      <w:r/>
      <w:bookmarkStart w:id="708" w:name="_Toc226309805"/>
      <w:r/>
      <w:bookmarkStart w:id="709" w:name="_Toc226337257"/>
      <w:r/>
      <w:bookmarkStart w:id="710" w:name="_Toc195842926"/>
      <w:r/>
      <w:bookmarkStart w:id="711" w:name="_Toc226965834"/>
      <w:r>
        <w:rPr>
          <w:rFonts w:hint="eastAsia" w:ascii="宋体" w:hAnsi="宋体"/>
          <w:sz w:val="24"/>
          <w:highlight w:val="none"/>
          <w:lang w:val="en-US" w:eastAsia="zh-CN"/>
        </w:rPr>
        <w:t xml:space="preserve">9  实质性要求</w:t>
      </w:r>
      <w:r>
        <w:rPr>
          <w:rFonts w:ascii="宋体" w:hAnsi="宋体"/>
          <w:sz w:val="24"/>
          <w:highlight w:val="none"/>
          <w:lang w:val="en-US" w:eastAsia="zh-CN"/>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8"/>
        <w:gridCol w:w="7762"/>
        <w:gridCol w:w="1419"/>
      </w:tblGrid>
      <w:tr>
        <w:trPr>
          <w:trHeight w:val="673"/>
        </w:trPr>
        <w:tc>
          <w:tcPr>
            <w:tcW w:w="334" w:type="dxa"/>
            <w:vAlign w:val="center"/>
            <w:textDirection w:val="lrTb"/>
            <w:noWrap w:val="false"/>
          </w:tcPr>
          <w:p>
            <w:pPr>
              <w:pStyle w:val="982"/>
              <w:jc w:val="center"/>
              <w:spacing w:line="360" w:lineRule="exac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bidi="ar"/>
              </w:rPr>
              <w:t xml:space="preserve">序号</w:t>
            </w:r>
            <w:r>
              <w:rPr>
                <w:rFonts w:hint="eastAsia" w:ascii="宋体" w:hAnsi="宋体" w:cs="宋体"/>
                <w:b/>
                <w:bCs/>
                <w:szCs w:val="21"/>
                <w:highlight w:val="none"/>
              </w:rPr>
            </w:r>
            <w:r/>
          </w:p>
        </w:tc>
        <w:tc>
          <w:tcPr>
            <w:tcW w:w="3943" w:type="dxa"/>
            <w:vAlign w:val="center"/>
            <w:textDirection w:val="lrTb"/>
            <w:noWrap w:val="false"/>
          </w:tcPr>
          <w:p>
            <w:pPr>
              <w:pStyle w:val="982"/>
              <w:jc w:val="center"/>
              <w:spacing w:line="360" w:lineRule="exac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bidi="ar"/>
              </w:rPr>
              <w:t xml:space="preserve">采购需求实质性响应体条款</w:t>
            </w:r>
            <w:r>
              <w:rPr>
                <w:rFonts w:hint="eastAsia" w:ascii="宋体" w:hAnsi="宋体" w:cs="宋体"/>
                <w:b/>
                <w:bCs/>
                <w:szCs w:val="21"/>
                <w:highlight w:val="none"/>
              </w:rPr>
            </w:r>
            <w:r/>
          </w:p>
        </w:tc>
        <w:tc>
          <w:tcPr>
            <w:tcW w:w="721" w:type="dxa"/>
            <w:vAlign w:val="center"/>
            <w:textDirection w:val="lrTb"/>
            <w:noWrap w:val="false"/>
          </w:tcPr>
          <w:p>
            <w:pPr>
              <w:pStyle w:val="982"/>
              <w:jc w:val="center"/>
              <w:spacing w:line="360" w:lineRule="exact"/>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bidi="ar"/>
              </w:rPr>
              <w:t xml:space="preserve">需提供的证明材料</w:t>
            </w:r>
            <w:r>
              <w:rPr>
                <w:rFonts w:hint="eastAsia" w:ascii="宋体" w:hAnsi="宋体" w:cs="宋体"/>
                <w:b/>
                <w:bCs/>
                <w:szCs w:val="21"/>
                <w:highlight w:val="none"/>
              </w:rPr>
            </w:r>
            <w:r/>
          </w:p>
        </w:tc>
      </w:tr>
      <w:tr>
        <w:trPr>
          <w:trHeight w:val="1984"/>
        </w:trPr>
        <w:tc>
          <w:tcPr>
            <w:tcW w:w="334" w:type="dxa"/>
            <w:vAlign w:val="center"/>
            <w:textDirection w:val="lrTb"/>
            <w:noWrap w:val="false"/>
          </w:tcPr>
          <w:p>
            <w:pPr>
              <w:pStyle w:val="982"/>
              <w:jc w:val="center"/>
              <w:spacing w:line="360" w:lineRule="exact"/>
              <w:rPr>
                <w:rFonts w:hint="eastAsia" w:ascii="宋体" w:hAnsi="宋体" w:eastAsia="宋体" w:cs="宋体"/>
                <w:b/>
                <w:bCs/>
                <w:color w:val="ff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1</w:t>
            </w:r>
            <w:r>
              <w:rPr>
                <w:rFonts w:hint="eastAsia" w:ascii="宋体" w:hAnsi="宋体" w:eastAsia="宋体" w:cs="宋体"/>
                <w:b/>
                <w:bCs/>
                <w:color w:val="ff0000"/>
                <w:szCs w:val="21"/>
                <w:highlight w:val="none"/>
                <w:lang w:val="en-US" w:eastAsia="zh-CN"/>
              </w:rPr>
            </w:r>
            <w:r/>
          </w:p>
        </w:tc>
        <w:tc>
          <w:tcPr>
            <w:tcW w:w="7762" w:type="dxa"/>
            <w:vAlign w:val="center"/>
            <w:textDirection w:val="lrTb"/>
            <w:noWrap w:val="false"/>
          </w:tcPr>
          <w:p>
            <w:pPr>
              <w:pStyle w:val="982"/>
              <w:keepLines w:val="0"/>
              <w:keepNext w:val="0"/>
              <w:pageBreakBefore w:val="0"/>
              <w:spacing w:line="400" w:lineRule="exact"/>
              <w:widowControl w:val="off"/>
              <w:rPr>
                <w:rFonts w:hint="eastAsia" w:ascii="宋体" w:hAnsi="宋体" w:cs="宋体"/>
                <w:b/>
                <w:bCs/>
                <w:color w:val="ff0000"/>
                <w:szCs w:val="21"/>
                <w:highlight w:val="none"/>
              </w:rPr>
            </w:pPr>
            <w:r>
              <w:rPr>
                <w:rFonts w:hint="eastAsia" w:ascii="宋体" w:hAnsi="宋体" w:cs="宋体"/>
                <w:b/>
                <w:bCs/>
                <w:szCs w:val="21"/>
                <w:highlight w:val="none"/>
                <w:u w:val="single"/>
              </w:rPr>
              <w:t xml:space="preserve">★拟投入的项目经理具有建设行政主管部门颁发的有效的公路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w:t>
            </w:r>
            <w:r>
              <w:rPr>
                <w:rFonts w:hint="eastAsia" w:ascii="宋体" w:hAnsi="宋体" w:cs="宋体"/>
                <w:b/>
                <w:bCs/>
                <w:color w:val="ff0000"/>
                <w:szCs w:val="21"/>
                <w:highlight w:val="none"/>
              </w:rPr>
            </w:r>
            <w:r/>
          </w:p>
        </w:tc>
        <w:tc>
          <w:tcPr>
            <w:tcW w:w="1420" w:type="dxa"/>
            <w:vAlign w:val="center"/>
            <w:textDirection w:val="lrTb"/>
            <w:noWrap w:val="false"/>
          </w:tcPr>
          <w:p>
            <w:pPr>
              <w:pStyle w:val="982"/>
              <w:jc w:val="center"/>
              <w:spacing w:line="360" w:lineRule="exact"/>
              <w:rPr>
                <w:rFonts w:ascii="宋体" w:hAnsi="宋体" w:cs="宋体"/>
                <w:b/>
                <w:bCs/>
                <w:color w:val="ff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bidi="ar"/>
              </w:rPr>
              <w:t xml:space="preserve">提供证书电子扫描件</w:t>
            </w:r>
            <w:r>
              <w:rPr>
                <w:rFonts w:ascii="宋体" w:hAnsi="宋体" w:cs="宋体"/>
                <w:b/>
                <w:bCs/>
                <w:color w:val="ff0000"/>
                <w:szCs w:val="21"/>
                <w:highlight w:val="none"/>
              </w:rPr>
            </w:r>
            <w:r/>
          </w:p>
        </w:tc>
      </w:tr>
      <w:tr>
        <w:trPr>
          <w:trHeight w:val="1701"/>
        </w:trPr>
        <w:tc>
          <w:tcPr>
            <w:tcW w:w="334" w:type="dxa"/>
            <w:vAlign w:val="center"/>
            <w:textDirection w:val="lrTb"/>
            <w:noWrap w:val="false"/>
          </w:tcPr>
          <w:p>
            <w:pPr>
              <w:pStyle w:val="982"/>
              <w:jc w:val="center"/>
              <w:spacing w:line="360" w:lineRule="exact"/>
              <w:rPr>
                <w:rFonts w:hint="eastAsia" w:ascii="宋体" w:hAnsi="宋体" w:eastAsia="宋体" w:cs="宋体"/>
                <w:b/>
                <w:bCs/>
                <w:szCs w:val="21"/>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2</w:t>
            </w:r>
            <w:r>
              <w:rPr>
                <w:rFonts w:hint="eastAsia" w:ascii="宋体" w:hAnsi="宋体" w:eastAsia="宋体" w:cs="宋体"/>
                <w:b/>
                <w:bCs/>
                <w:szCs w:val="21"/>
                <w:highlight w:val="none"/>
                <w:lang w:eastAsia="zh-CN" w:bidi="ar"/>
              </w:rPr>
            </w:r>
            <w:r/>
          </w:p>
        </w:tc>
        <w:tc>
          <w:tcPr>
            <w:tcW w:w="7762" w:type="dxa"/>
            <w:vAlign w:val="center"/>
            <w:textDirection w:val="lrTb"/>
            <w:noWrap w:val="false"/>
          </w:tcPr>
          <w:p>
            <w:pPr>
              <w:pStyle w:val="982"/>
              <w:keepLines w:val="0"/>
              <w:keepNext w:val="0"/>
              <w:pageBreakBefore w:val="0"/>
              <w:spacing w:line="400" w:lineRule="exact"/>
              <w:widowControl w:val="off"/>
              <w:rPr>
                <w:rFonts w:hint="eastAsia" w:ascii="宋体" w:hAnsi="宋体" w:cs="宋体"/>
                <w:b/>
                <w:bCs/>
                <w:szCs w:val="21"/>
                <w:highlight w:val="none"/>
                <w:u w:val="single"/>
              </w:rPr>
            </w:pPr>
            <w:r>
              <w:rPr>
                <w:rFonts w:hint="eastAsia" w:ascii="宋体" w:hAnsi="宋体" w:cs="宋体"/>
                <w:b/>
                <w:bCs/>
                <w:szCs w:val="21"/>
                <w:highlight w:val="none"/>
                <w:u w:val="singl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cs="宋体"/>
                <w:b/>
                <w:bCs/>
                <w:szCs w:val="21"/>
                <w:highlight w:val="none"/>
                <w:u w:val="single"/>
              </w:rPr>
            </w:r>
            <w:r/>
          </w:p>
        </w:tc>
        <w:tc>
          <w:tcPr>
            <w:tcW w:w="1420" w:type="dxa"/>
            <w:vAlign w:val="center"/>
            <w:textDirection w:val="lrTb"/>
            <w:noWrap w:val="false"/>
          </w:tcPr>
          <w:p>
            <w:pPr>
              <w:pStyle w:val="982"/>
              <w:jc w:val="center"/>
              <w:spacing w:line="360" w:lineRule="exact"/>
              <w:rPr>
                <w:rFonts w:hint="eastAsia" w:ascii="宋体" w:hAnsi="宋体" w:cs="宋体"/>
                <w:b/>
                <w:bCs/>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bidi="ar"/>
              </w:rPr>
              <w:t xml:space="preserve">提供证书电子扫描件</w:t>
            </w:r>
            <w:r>
              <w:rPr>
                <w:rFonts w:hint="eastAsia" w:ascii="宋体" w:hAnsi="宋体" w:cs="宋体"/>
                <w:b/>
                <w:bCs/>
                <w:szCs w:val="21"/>
                <w:highlight w:val="none"/>
                <w:lang w:bidi="ar"/>
              </w:rPr>
            </w:r>
            <w:r/>
          </w:p>
        </w:tc>
      </w:tr>
      <w:tr>
        <w:trPr>
          <w:trHeight w:val="1701"/>
        </w:trPr>
        <w:tc>
          <w:tcPr>
            <w:tcW w:w="334" w:type="dxa"/>
            <w:vAlign w:val="center"/>
            <w:textDirection w:val="lrTb"/>
            <w:noWrap w:val="false"/>
          </w:tcPr>
          <w:p>
            <w:pPr>
              <w:pStyle w:val="982"/>
              <w:jc w:val="center"/>
              <w:spacing w:line="360" w:lineRule="exact"/>
              <w:rPr>
                <w:rFonts w:ascii="宋体" w:hAnsi="宋体" w:cs="宋体"/>
                <w:b/>
                <w:bCs/>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3</w:t>
            </w:r>
            <w:r>
              <w:rPr>
                <w:rFonts w:ascii="宋体" w:hAnsi="宋体" w:cs="宋体"/>
                <w:b/>
                <w:bCs/>
                <w:szCs w:val="21"/>
                <w:highlight w:val="none"/>
                <w:lang w:val="en-US" w:eastAsia="zh-CN" w:bidi="ar"/>
              </w:rPr>
            </w:r>
            <w:r/>
          </w:p>
        </w:tc>
        <w:tc>
          <w:tcPr>
            <w:tcW w:w="7762" w:type="dxa"/>
            <w:vAlign w:val="center"/>
            <w:textDirection w:val="lrTb"/>
            <w:noWrap w:val="false"/>
          </w:tcPr>
          <w:p>
            <w:pPr>
              <w:pStyle w:val="982"/>
              <w:keepLines w:val="0"/>
              <w:keepNext w:val="0"/>
              <w:pageBreakBefore w:val="0"/>
              <w:spacing w:line="400" w:lineRule="exact"/>
              <w:widowControl w:val="off"/>
              <w:rPr>
                <w:rFonts w:hint="eastAsia" w:ascii="宋体" w:hAnsi="宋体" w:cs="宋体"/>
                <w:b/>
                <w:bCs/>
                <w:szCs w:val="21"/>
                <w:highlight w:val="none"/>
                <w:u w:val="single"/>
              </w:rPr>
            </w:pPr>
            <w:r>
              <w:rPr>
                <w:rFonts w:hint="eastAsia" w:ascii="宋体" w:hAnsi="宋体" w:eastAsia="宋体" w:cs="宋体"/>
                <w:b/>
                <w:bCs/>
                <w:szCs w:val="21"/>
                <w:highlight w:val="none"/>
                <w:u w:val="single"/>
              </w:rPr>
              <w:t xml:space="preserve">★在本工程维护期限内，承包人保证对发生应急抢修等情况，能按发包人要求及时到达现场，进行修补或维护。确保道路通行正常。直接影响安全或功能丧失的维护（控制）响应时间不得超过60分钟，物理状态或一般功能缺陷维护响应时间不得超过48小时，轻微物理或功能缺陷维护响应时间不得超过10个工作日。不能满足该时效要求的，按承包人违约处理，发现一次，处以2000元的处罚，且不免除承包人对缺陷维修的责任。</w:t>
            </w:r>
            <w:r>
              <w:rPr>
                <w:rFonts w:hint="eastAsia" w:ascii="宋体" w:hAnsi="宋体" w:cs="宋体"/>
                <w:b/>
                <w:bCs/>
                <w:szCs w:val="21"/>
                <w:highlight w:val="none"/>
                <w:u w:val="single"/>
              </w:rPr>
            </w:r>
            <w:r/>
          </w:p>
        </w:tc>
        <w:tc>
          <w:tcPr>
            <w:tcW w:w="1420" w:type="dxa"/>
            <w:vAlign w:val="center"/>
            <w:textDirection w:val="lrTb"/>
            <w:noWrap w:val="false"/>
          </w:tcPr>
          <w:p>
            <w:pPr>
              <w:pStyle w:val="982"/>
              <w:jc w:val="center"/>
              <w:spacing w:line="360" w:lineRule="exact"/>
              <w:rPr>
                <w:rFonts w:hint="eastAsia" w:ascii="宋体" w:hAnsi="宋体" w:cs="宋体"/>
                <w:b/>
                <w:bCs/>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填写承诺书，格式自拟</w:t>
            </w:r>
            <w:r>
              <w:rPr>
                <w:rFonts w:hint="eastAsia" w:ascii="宋体" w:hAnsi="宋体" w:cs="宋体"/>
                <w:b/>
                <w:bCs/>
                <w:szCs w:val="21"/>
                <w:highlight w:val="none"/>
                <w:lang w:bidi="ar"/>
              </w:rPr>
            </w:r>
            <w:r/>
          </w:p>
        </w:tc>
      </w:tr>
    </w:tbl>
    <w:p>
      <w:pPr>
        <w:pStyle w:val="982"/>
        <w:ind w:firstLine="482"/>
        <w:spacing w:line="480" w:lineRule="auto"/>
        <w:rPr>
          <w:sz w:val="24"/>
          <w:szCs w:val="20"/>
          <w:highlight w:val="none"/>
        </w:rPr>
      </w:pPr>
      <w:r>
        <w:rPr>
          <w:rFonts w:ascii="宋体" w:hAnsi="宋体"/>
          <w:sz w:val="24"/>
          <w:highlight w:val="none"/>
        </w:rPr>
        <w:br w:type="page" w:clear="all"/>
      </w:r>
      <w:r>
        <w:rPr>
          <w:rFonts w:ascii="宋体" w:hAnsi="宋体"/>
          <w:sz w:val="24"/>
          <w:highlight w:val="none"/>
        </w:rPr>
        <w:br w:type="textWrapping" w:clear="all"/>
      </w:r>
      <w:r>
        <w:rPr>
          <w:rFonts w:hint="eastAsia"/>
          <w:sz w:val="24"/>
          <w:szCs w:val="20"/>
          <w:highlight w:val="none"/>
          <w:lang w:val="en-US" w:eastAsia="zh-CN"/>
        </w:rPr>
        <w:t xml:space="preserve">10</w:t>
      </w:r>
      <w:r>
        <w:rPr>
          <w:sz w:val="24"/>
          <w:szCs w:val="20"/>
          <w:highlight w:val="none"/>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highlight w:val="none"/>
        </w:rPr>
      </w:r>
      <w:r/>
    </w:p>
    <w:p>
      <w:pPr>
        <w:pStyle w:val="982"/>
        <w:spacing w:line="360" w:lineRule="auto"/>
        <w:rPr>
          <w:sz w:val="24"/>
          <w:szCs w:val="20"/>
          <w:highlight w:val="none"/>
        </w:rPr>
      </w:pPr>
      <w:r>
        <w:rPr>
          <w:sz w:val="24"/>
          <w:szCs w:val="20"/>
          <w:highlight w:val="none"/>
        </w:rPr>
      </w:r>
      <w:r/>
    </w:p>
    <w:p>
      <w:pPr>
        <w:pStyle w:val="982"/>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982"/>
        <w:jc w:val="center"/>
        <w:rPr>
          <w:sz w:val="36"/>
          <w:szCs w:val="36"/>
          <w:highlight w:val="none"/>
        </w:rPr>
      </w:pPr>
      <w:r>
        <w:rPr>
          <w:sz w:val="36"/>
          <w:szCs w:val="36"/>
          <w:highlight w:val="none"/>
        </w:rPr>
      </w:r>
      <w:r/>
    </w:p>
    <w:p>
      <w:pPr>
        <w:pStyle w:val="982"/>
        <w:spacing w:line="360" w:lineRule="auto"/>
        <w:rPr>
          <w:sz w:val="24"/>
          <w:szCs w:val="20"/>
          <w:highlight w:val="none"/>
        </w:rPr>
      </w:pPr>
      <w:r>
        <w:rPr>
          <w:sz w:val="24"/>
          <w:szCs w:val="20"/>
          <w:highlight w:val="none"/>
        </w:rPr>
      </w:r>
      <w:r/>
    </w:p>
    <w:p>
      <w:pPr>
        <w:pStyle w:val="982"/>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项目名称：_____________________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82"/>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982"/>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982"/>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982"/>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982"/>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982"/>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982"/>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982"/>
              <w:jc w:val="center"/>
              <w:rPr>
                <w:sz w:val="24"/>
                <w:highlight w:val="none"/>
              </w:rPr>
            </w:pPr>
            <w:r>
              <w:rPr>
                <w:sz w:val="24"/>
                <w:highlight w:val="none"/>
              </w:rPr>
              <w:t xml:space="preserve">偏离情况</w:t>
            </w:r>
            <w:r>
              <w:rPr>
                <w:sz w:val="24"/>
                <w:highlight w:val="none"/>
              </w:rPr>
            </w:r>
            <w:r/>
          </w:p>
          <w:p>
            <w:pPr>
              <w:pStyle w:val="982"/>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982"/>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982"/>
              <w:jc w:val="center"/>
              <w:rPr>
                <w:sz w:val="24"/>
                <w:highlight w:val="none"/>
              </w:rPr>
            </w:pPr>
            <w:r>
              <w:rPr>
                <w:sz w:val="24"/>
                <w:highlight w:val="none"/>
              </w:rPr>
            </w:r>
            <w:r/>
          </w:p>
        </w:tc>
        <w:tc>
          <w:tcPr>
            <w:tcW w:w="1301" w:type="dxa"/>
            <w:vAlign w:val="center"/>
            <w:textDirection w:val="lrTb"/>
            <w:noWrap w:val="false"/>
          </w:tcPr>
          <w:p>
            <w:pPr>
              <w:pStyle w:val="982"/>
              <w:jc w:val="center"/>
              <w:rPr>
                <w:sz w:val="24"/>
                <w:highlight w:val="none"/>
              </w:rPr>
            </w:pPr>
            <w:r>
              <w:rPr>
                <w:sz w:val="24"/>
                <w:highlight w:val="none"/>
              </w:rPr>
            </w:r>
            <w:r/>
          </w:p>
        </w:tc>
        <w:tc>
          <w:tcPr>
            <w:tcW w:w="2007" w:type="dxa"/>
            <w:vAlign w:val="center"/>
            <w:textDirection w:val="lrTb"/>
            <w:noWrap w:val="false"/>
          </w:tcPr>
          <w:p>
            <w:pPr>
              <w:pStyle w:val="982"/>
              <w:jc w:val="center"/>
              <w:rPr>
                <w:sz w:val="24"/>
                <w:highlight w:val="none"/>
              </w:rPr>
            </w:pPr>
            <w:r>
              <w:rPr>
                <w:sz w:val="24"/>
                <w:highlight w:val="none"/>
              </w:rPr>
            </w:r>
            <w:r/>
          </w:p>
        </w:tc>
        <w:tc>
          <w:tcPr>
            <w:tcW w:w="2008" w:type="dxa"/>
            <w:vAlign w:val="center"/>
            <w:textDirection w:val="lrTb"/>
            <w:noWrap w:val="false"/>
          </w:tcPr>
          <w:p>
            <w:pPr>
              <w:pStyle w:val="982"/>
              <w:jc w:val="center"/>
              <w:rPr>
                <w:sz w:val="24"/>
                <w:highlight w:val="none"/>
              </w:rPr>
            </w:pPr>
            <w:r>
              <w:rPr>
                <w:sz w:val="24"/>
                <w:highlight w:val="none"/>
              </w:rPr>
            </w:r>
            <w:r/>
          </w:p>
        </w:tc>
        <w:tc>
          <w:tcPr>
            <w:tcW w:w="2458" w:type="dxa"/>
            <w:vAlign w:val="center"/>
            <w:textDirection w:val="lrTb"/>
            <w:noWrap w:val="false"/>
          </w:tcPr>
          <w:p>
            <w:pPr>
              <w:pStyle w:val="982"/>
              <w:jc w:val="center"/>
              <w:rPr>
                <w:sz w:val="24"/>
                <w:highlight w:val="none"/>
              </w:rPr>
            </w:pPr>
            <w:r>
              <w:rPr>
                <w:sz w:val="24"/>
                <w:highlight w:val="none"/>
              </w:rPr>
            </w:r>
            <w:r/>
          </w:p>
        </w:tc>
        <w:tc>
          <w:tcPr>
            <w:tcW w:w="788" w:type="dxa"/>
            <w:vAlign w:val="center"/>
            <w:textDirection w:val="lrTb"/>
            <w:noWrap w:val="false"/>
          </w:tcPr>
          <w:p>
            <w:pPr>
              <w:pStyle w:val="982"/>
              <w:jc w:val="center"/>
              <w:rPr>
                <w:sz w:val="24"/>
                <w:highlight w:val="none"/>
              </w:rPr>
            </w:pPr>
            <w:r>
              <w:rPr>
                <w:sz w:val="24"/>
                <w:highlight w:val="none"/>
              </w:rPr>
            </w:r>
            <w:r/>
          </w:p>
        </w:tc>
      </w:tr>
      <w:tr>
        <w:trPr>
          <w:trHeight w:val="930"/>
        </w:trPr>
        <w:tc>
          <w:tcPr>
            <w:tcW w:w="834" w:type="dxa"/>
            <w:vAlign w:val="center"/>
            <w:textDirection w:val="lrTb"/>
            <w:noWrap w:val="false"/>
          </w:tcPr>
          <w:p>
            <w:pPr>
              <w:pStyle w:val="982"/>
              <w:jc w:val="center"/>
              <w:rPr>
                <w:sz w:val="24"/>
                <w:highlight w:val="none"/>
              </w:rPr>
            </w:pPr>
            <w:r>
              <w:rPr>
                <w:sz w:val="24"/>
                <w:highlight w:val="none"/>
              </w:rPr>
            </w:r>
            <w:r/>
          </w:p>
        </w:tc>
        <w:tc>
          <w:tcPr>
            <w:tcW w:w="1301" w:type="dxa"/>
            <w:vAlign w:val="center"/>
            <w:textDirection w:val="lrTb"/>
            <w:noWrap w:val="false"/>
          </w:tcPr>
          <w:p>
            <w:pPr>
              <w:pStyle w:val="982"/>
              <w:jc w:val="center"/>
              <w:rPr>
                <w:sz w:val="24"/>
                <w:highlight w:val="none"/>
              </w:rPr>
            </w:pPr>
            <w:r>
              <w:rPr>
                <w:sz w:val="24"/>
                <w:highlight w:val="none"/>
              </w:rPr>
            </w:r>
            <w:r/>
          </w:p>
        </w:tc>
        <w:tc>
          <w:tcPr>
            <w:tcW w:w="2007" w:type="dxa"/>
            <w:vAlign w:val="center"/>
            <w:textDirection w:val="lrTb"/>
            <w:noWrap w:val="false"/>
          </w:tcPr>
          <w:p>
            <w:pPr>
              <w:pStyle w:val="982"/>
              <w:jc w:val="center"/>
              <w:rPr>
                <w:sz w:val="24"/>
                <w:highlight w:val="none"/>
              </w:rPr>
            </w:pPr>
            <w:r>
              <w:rPr>
                <w:sz w:val="24"/>
                <w:highlight w:val="none"/>
              </w:rPr>
            </w:r>
            <w:r/>
          </w:p>
        </w:tc>
        <w:tc>
          <w:tcPr>
            <w:tcW w:w="2008" w:type="dxa"/>
            <w:vAlign w:val="center"/>
            <w:textDirection w:val="lrTb"/>
            <w:noWrap w:val="false"/>
          </w:tcPr>
          <w:p>
            <w:pPr>
              <w:pStyle w:val="982"/>
              <w:jc w:val="center"/>
              <w:rPr>
                <w:sz w:val="24"/>
                <w:highlight w:val="none"/>
              </w:rPr>
            </w:pPr>
            <w:r>
              <w:rPr>
                <w:sz w:val="24"/>
                <w:highlight w:val="none"/>
              </w:rPr>
            </w:r>
            <w:r/>
          </w:p>
        </w:tc>
        <w:tc>
          <w:tcPr>
            <w:tcW w:w="2458" w:type="dxa"/>
            <w:vAlign w:val="center"/>
            <w:textDirection w:val="lrTb"/>
            <w:noWrap w:val="false"/>
          </w:tcPr>
          <w:p>
            <w:pPr>
              <w:pStyle w:val="982"/>
              <w:jc w:val="center"/>
              <w:rPr>
                <w:sz w:val="24"/>
                <w:highlight w:val="none"/>
              </w:rPr>
            </w:pPr>
            <w:r>
              <w:rPr>
                <w:sz w:val="24"/>
                <w:highlight w:val="none"/>
              </w:rPr>
            </w:r>
            <w:r/>
          </w:p>
        </w:tc>
        <w:tc>
          <w:tcPr>
            <w:tcW w:w="788" w:type="dxa"/>
            <w:vAlign w:val="center"/>
            <w:textDirection w:val="lrTb"/>
            <w:noWrap w:val="false"/>
          </w:tcPr>
          <w:p>
            <w:pPr>
              <w:pStyle w:val="982"/>
              <w:jc w:val="center"/>
              <w:rPr>
                <w:sz w:val="24"/>
                <w:highlight w:val="none"/>
              </w:rPr>
            </w:pPr>
            <w:r>
              <w:rPr>
                <w:sz w:val="24"/>
                <w:highlight w:val="none"/>
              </w:rPr>
            </w:r>
            <w:r/>
          </w:p>
        </w:tc>
      </w:tr>
      <w:tr>
        <w:trPr>
          <w:trHeight w:val="930"/>
        </w:trPr>
        <w:tc>
          <w:tcPr>
            <w:tcW w:w="834" w:type="dxa"/>
            <w:vAlign w:val="center"/>
            <w:textDirection w:val="lrTb"/>
            <w:noWrap w:val="false"/>
          </w:tcPr>
          <w:p>
            <w:pPr>
              <w:pStyle w:val="982"/>
              <w:jc w:val="center"/>
              <w:rPr>
                <w:sz w:val="24"/>
                <w:highlight w:val="none"/>
              </w:rPr>
            </w:pPr>
            <w:r>
              <w:rPr>
                <w:sz w:val="24"/>
                <w:highlight w:val="none"/>
              </w:rPr>
            </w:r>
            <w:r/>
          </w:p>
        </w:tc>
        <w:tc>
          <w:tcPr>
            <w:tcW w:w="1301" w:type="dxa"/>
            <w:vAlign w:val="center"/>
            <w:textDirection w:val="lrTb"/>
            <w:noWrap w:val="false"/>
          </w:tcPr>
          <w:p>
            <w:pPr>
              <w:pStyle w:val="982"/>
              <w:jc w:val="center"/>
              <w:rPr>
                <w:sz w:val="24"/>
                <w:highlight w:val="none"/>
              </w:rPr>
            </w:pPr>
            <w:r>
              <w:rPr>
                <w:sz w:val="24"/>
                <w:highlight w:val="none"/>
              </w:rPr>
            </w:r>
            <w:r/>
          </w:p>
        </w:tc>
        <w:tc>
          <w:tcPr>
            <w:tcW w:w="2007" w:type="dxa"/>
            <w:vAlign w:val="center"/>
            <w:textDirection w:val="lrTb"/>
            <w:noWrap w:val="false"/>
          </w:tcPr>
          <w:p>
            <w:pPr>
              <w:pStyle w:val="982"/>
              <w:jc w:val="center"/>
              <w:rPr>
                <w:sz w:val="24"/>
                <w:highlight w:val="none"/>
              </w:rPr>
            </w:pPr>
            <w:r>
              <w:rPr>
                <w:sz w:val="24"/>
                <w:highlight w:val="none"/>
              </w:rPr>
            </w:r>
            <w:r/>
          </w:p>
        </w:tc>
        <w:tc>
          <w:tcPr>
            <w:tcW w:w="2008" w:type="dxa"/>
            <w:vAlign w:val="center"/>
            <w:textDirection w:val="lrTb"/>
            <w:noWrap w:val="false"/>
          </w:tcPr>
          <w:p>
            <w:pPr>
              <w:pStyle w:val="982"/>
              <w:jc w:val="center"/>
              <w:rPr>
                <w:sz w:val="24"/>
                <w:highlight w:val="none"/>
              </w:rPr>
            </w:pPr>
            <w:r>
              <w:rPr>
                <w:sz w:val="24"/>
                <w:highlight w:val="none"/>
              </w:rPr>
            </w:r>
            <w:r/>
          </w:p>
        </w:tc>
        <w:tc>
          <w:tcPr>
            <w:tcW w:w="2458" w:type="dxa"/>
            <w:vAlign w:val="center"/>
            <w:textDirection w:val="lrTb"/>
            <w:noWrap w:val="false"/>
          </w:tcPr>
          <w:p>
            <w:pPr>
              <w:pStyle w:val="982"/>
              <w:jc w:val="center"/>
              <w:rPr>
                <w:sz w:val="24"/>
                <w:highlight w:val="none"/>
              </w:rPr>
            </w:pPr>
            <w:r>
              <w:rPr>
                <w:sz w:val="24"/>
                <w:highlight w:val="none"/>
              </w:rPr>
            </w:r>
            <w:r/>
          </w:p>
        </w:tc>
        <w:tc>
          <w:tcPr>
            <w:tcW w:w="788" w:type="dxa"/>
            <w:vAlign w:val="center"/>
            <w:textDirection w:val="lrTb"/>
            <w:noWrap w:val="false"/>
          </w:tcPr>
          <w:p>
            <w:pPr>
              <w:pStyle w:val="982"/>
              <w:jc w:val="center"/>
              <w:rPr>
                <w:sz w:val="24"/>
                <w:highlight w:val="none"/>
              </w:rPr>
            </w:pPr>
            <w:r>
              <w:rPr>
                <w:sz w:val="24"/>
                <w:highlight w:val="none"/>
              </w:rPr>
            </w:r>
            <w:r/>
          </w:p>
        </w:tc>
      </w:tr>
      <w:tr>
        <w:trPr>
          <w:trHeight w:val="930"/>
        </w:trPr>
        <w:tc>
          <w:tcPr>
            <w:tcW w:w="834" w:type="dxa"/>
            <w:vAlign w:val="center"/>
            <w:textDirection w:val="lrTb"/>
            <w:noWrap w:val="false"/>
          </w:tcPr>
          <w:p>
            <w:pPr>
              <w:pStyle w:val="982"/>
              <w:jc w:val="center"/>
              <w:rPr>
                <w:sz w:val="24"/>
                <w:highlight w:val="none"/>
              </w:rPr>
            </w:pPr>
            <w:r>
              <w:rPr>
                <w:sz w:val="24"/>
                <w:highlight w:val="none"/>
              </w:rPr>
            </w:r>
            <w:r/>
          </w:p>
        </w:tc>
        <w:tc>
          <w:tcPr>
            <w:tcW w:w="1301" w:type="dxa"/>
            <w:vAlign w:val="center"/>
            <w:textDirection w:val="lrTb"/>
            <w:noWrap w:val="false"/>
          </w:tcPr>
          <w:p>
            <w:pPr>
              <w:pStyle w:val="982"/>
              <w:jc w:val="center"/>
              <w:rPr>
                <w:sz w:val="24"/>
                <w:highlight w:val="none"/>
              </w:rPr>
            </w:pPr>
            <w:r>
              <w:rPr>
                <w:sz w:val="24"/>
                <w:highlight w:val="none"/>
              </w:rPr>
            </w:r>
            <w:r/>
          </w:p>
        </w:tc>
        <w:tc>
          <w:tcPr>
            <w:tcW w:w="2007" w:type="dxa"/>
            <w:vAlign w:val="center"/>
            <w:textDirection w:val="lrTb"/>
            <w:noWrap w:val="false"/>
          </w:tcPr>
          <w:p>
            <w:pPr>
              <w:pStyle w:val="982"/>
              <w:jc w:val="center"/>
              <w:rPr>
                <w:sz w:val="24"/>
                <w:highlight w:val="none"/>
              </w:rPr>
            </w:pPr>
            <w:r>
              <w:rPr>
                <w:sz w:val="24"/>
                <w:highlight w:val="none"/>
              </w:rPr>
            </w:r>
            <w:r/>
          </w:p>
        </w:tc>
        <w:tc>
          <w:tcPr>
            <w:tcW w:w="2008" w:type="dxa"/>
            <w:vAlign w:val="center"/>
            <w:textDirection w:val="lrTb"/>
            <w:noWrap w:val="false"/>
          </w:tcPr>
          <w:p>
            <w:pPr>
              <w:pStyle w:val="982"/>
              <w:jc w:val="center"/>
              <w:rPr>
                <w:sz w:val="24"/>
                <w:highlight w:val="none"/>
              </w:rPr>
            </w:pPr>
            <w:r>
              <w:rPr>
                <w:sz w:val="24"/>
                <w:highlight w:val="none"/>
              </w:rPr>
            </w:r>
            <w:r/>
          </w:p>
        </w:tc>
        <w:tc>
          <w:tcPr>
            <w:tcW w:w="2458" w:type="dxa"/>
            <w:vAlign w:val="center"/>
            <w:textDirection w:val="lrTb"/>
            <w:noWrap w:val="false"/>
          </w:tcPr>
          <w:p>
            <w:pPr>
              <w:pStyle w:val="982"/>
              <w:jc w:val="center"/>
              <w:rPr>
                <w:sz w:val="24"/>
                <w:highlight w:val="none"/>
              </w:rPr>
            </w:pPr>
            <w:r>
              <w:rPr>
                <w:sz w:val="24"/>
                <w:highlight w:val="none"/>
              </w:rPr>
            </w:r>
            <w:r/>
          </w:p>
        </w:tc>
        <w:tc>
          <w:tcPr>
            <w:tcW w:w="788" w:type="dxa"/>
            <w:vAlign w:val="center"/>
            <w:textDirection w:val="lrTb"/>
            <w:noWrap w:val="false"/>
          </w:tcPr>
          <w:p>
            <w:pPr>
              <w:pStyle w:val="982"/>
              <w:jc w:val="center"/>
              <w:rPr>
                <w:sz w:val="24"/>
                <w:highlight w:val="none"/>
              </w:rPr>
            </w:pPr>
            <w:r>
              <w:rPr>
                <w:sz w:val="24"/>
                <w:highlight w:val="none"/>
              </w:rPr>
            </w:r>
            <w:r/>
          </w:p>
        </w:tc>
      </w:tr>
    </w:tbl>
    <w:p>
      <w:pPr>
        <w:pStyle w:val="982"/>
        <w:jc w:val="left"/>
        <w:tabs>
          <w:tab w:val="left" w:pos="1800" w:leader="none"/>
          <w:tab w:val="left" w:pos="5580" w:leader="none"/>
        </w:tabs>
        <w:rPr>
          <w:sz w:val="24"/>
          <w:highlight w:val="none"/>
        </w:rPr>
      </w:pPr>
      <w:r>
        <w:rPr>
          <w:sz w:val="24"/>
          <w:highlight w:val="none"/>
        </w:rPr>
      </w:r>
      <w:r/>
    </w:p>
    <w:p>
      <w:pPr>
        <w:pStyle w:val="982"/>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982"/>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982"/>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982"/>
        <w:spacing w:line="360" w:lineRule="auto"/>
        <w:rPr>
          <w:sz w:val="24"/>
          <w:szCs w:val="20"/>
          <w:highlight w:val="none"/>
        </w:rPr>
      </w:pPr>
      <w:r>
        <w:rPr>
          <w:sz w:val="24"/>
          <w:szCs w:val="20"/>
          <w:highlight w:val="none"/>
        </w:rPr>
      </w:r>
      <w:r/>
    </w:p>
    <w:p>
      <w:pPr>
        <w:pStyle w:val="98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98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8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82"/>
        <w:spacing w:line="360" w:lineRule="auto"/>
        <w:rPr>
          <w:rFonts w:hint="eastAsia"/>
          <w:sz w:val="24"/>
          <w:szCs w:val="20"/>
          <w:highlight w:val="none"/>
        </w:rPr>
        <w:outlineLvl w:val="2"/>
      </w:pPr>
      <w:r>
        <w:rPr>
          <w:sz w:val="24"/>
          <w:szCs w:val="20"/>
          <w:highlight w:val="none"/>
        </w:rPr>
        <w:br w:type="page" w:clear="all"/>
      </w:r>
      <w:r>
        <w:rPr>
          <w:rFonts w:hint="eastAsia"/>
          <w:sz w:val="24"/>
          <w:szCs w:val="20"/>
          <w:highlight w:val="none"/>
        </w:rPr>
      </w:r>
      <w:r/>
    </w:p>
    <w:p>
      <w:pPr>
        <w:pStyle w:val="982"/>
        <w:spacing w:line="360" w:lineRule="auto"/>
        <w:rPr>
          <w:sz w:val="24"/>
          <w:szCs w:val="20"/>
          <w:highlight w:val="none"/>
        </w:rPr>
        <w:outlineLvl w:val="2"/>
      </w:pPr>
      <w:r>
        <w:rPr>
          <w:sz w:val="24"/>
          <w:szCs w:val="20"/>
          <w:highlight w:val="none"/>
        </w:rPr>
        <w:t xml:space="preserve">1</w:t>
      </w:r>
      <w:r>
        <w:rPr>
          <w:rFonts w:hint="eastAsia"/>
          <w:sz w:val="24"/>
          <w:szCs w:val="20"/>
          <w:highlight w:val="none"/>
          <w:lang w:val="en-US" w:eastAsia="zh-CN"/>
        </w:rPr>
        <w:t xml:space="preserve">1</w:t>
      </w:r>
      <w:r>
        <w:rPr>
          <w:sz w:val="24"/>
          <w:szCs w:val="20"/>
          <w:highlight w:val="none"/>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highlight w:val="none"/>
        </w:rPr>
        <w:t xml:space="preserve">采购需求偏离表</w:t>
      </w:r>
      <w:r>
        <w:rPr>
          <w:sz w:val="24"/>
          <w:szCs w:val="20"/>
          <w:highlight w:val="none"/>
        </w:rPr>
      </w:r>
      <w:r/>
    </w:p>
    <w:p>
      <w:pPr>
        <w:pStyle w:val="982"/>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982"/>
        <w:jc w:val="center"/>
        <w:rPr>
          <w:sz w:val="36"/>
          <w:szCs w:val="36"/>
          <w:highlight w:val="none"/>
        </w:rPr>
      </w:pPr>
      <w:r>
        <w:rPr>
          <w:sz w:val="36"/>
          <w:szCs w:val="36"/>
          <w:highlight w:val="none"/>
        </w:rPr>
      </w:r>
      <w:r/>
    </w:p>
    <w:p>
      <w:pPr>
        <w:pStyle w:val="982"/>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82"/>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982"/>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982"/>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1053"/>
        </w:trPr>
        <w:tc>
          <w:tcPr>
            <w:tcW w:w="775" w:type="dxa"/>
            <w:vAlign w:val="center"/>
            <w:textDirection w:val="lrTb"/>
            <w:noWrap w:val="false"/>
          </w:tcPr>
          <w:p>
            <w:pPr>
              <w:pStyle w:val="982"/>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982"/>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982"/>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982"/>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982"/>
              <w:jc w:val="center"/>
              <w:rPr>
                <w:sz w:val="24"/>
                <w:highlight w:val="none"/>
              </w:rPr>
            </w:pPr>
            <w:r>
              <w:rPr>
                <w:sz w:val="24"/>
                <w:highlight w:val="none"/>
              </w:rPr>
              <w:t xml:space="preserve">偏离情况</w:t>
            </w:r>
            <w:r>
              <w:rPr>
                <w:sz w:val="24"/>
                <w:highlight w:val="none"/>
              </w:rPr>
            </w:r>
            <w:r/>
          </w:p>
          <w:p>
            <w:pPr>
              <w:pStyle w:val="982"/>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982"/>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982"/>
              <w:jc w:val="center"/>
              <w:rPr>
                <w:sz w:val="24"/>
                <w:highlight w:val="none"/>
              </w:rPr>
            </w:pPr>
            <w:r>
              <w:rPr>
                <w:sz w:val="24"/>
                <w:highlight w:val="none"/>
              </w:rPr>
            </w:r>
            <w:r/>
          </w:p>
        </w:tc>
        <w:tc>
          <w:tcPr>
            <w:tcW w:w="1482" w:type="dxa"/>
            <w:vAlign w:val="center"/>
            <w:textDirection w:val="lrTb"/>
            <w:noWrap w:val="false"/>
          </w:tcPr>
          <w:p>
            <w:pPr>
              <w:pStyle w:val="982"/>
              <w:jc w:val="center"/>
              <w:rPr>
                <w:sz w:val="24"/>
                <w:highlight w:val="none"/>
              </w:rPr>
            </w:pPr>
            <w:r>
              <w:rPr>
                <w:sz w:val="24"/>
                <w:highlight w:val="none"/>
              </w:rPr>
            </w:r>
            <w:r/>
          </w:p>
        </w:tc>
        <w:tc>
          <w:tcPr>
            <w:tcW w:w="2384" w:type="dxa"/>
            <w:vAlign w:val="center"/>
            <w:textDirection w:val="lrTb"/>
            <w:noWrap w:val="false"/>
          </w:tcPr>
          <w:p>
            <w:pPr>
              <w:pStyle w:val="982"/>
              <w:jc w:val="center"/>
              <w:rPr>
                <w:sz w:val="24"/>
                <w:highlight w:val="none"/>
              </w:rPr>
            </w:pPr>
            <w:r>
              <w:rPr>
                <w:sz w:val="24"/>
                <w:highlight w:val="none"/>
              </w:rPr>
            </w:r>
            <w:r/>
          </w:p>
        </w:tc>
        <w:tc>
          <w:tcPr>
            <w:tcW w:w="2126" w:type="dxa"/>
            <w:vAlign w:val="center"/>
            <w:textDirection w:val="lrTb"/>
            <w:noWrap w:val="false"/>
          </w:tcPr>
          <w:p>
            <w:pPr>
              <w:pStyle w:val="982"/>
              <w:jc w:val="center"/>
              <w:rPr>
                <w:sz w:val="24"/>
                <w:highlight w:val="none"/>
              </w:rPr>
            </w:pPr>
            <w:r>
              <w:rPr>
                <w:sz w:val="24"/>
                <w:highlight w:val="none"/>
              </w:rPr>
            </w:r>
            <w:r/>
          </w:p>
        </w:tc>
        <w:tc>
          <w:tcPr>
            <w:tcW w:w="1875" w:type="dxa"/>
            <w:vAlign w:val="center"/>
            <w:textDirection w:val="lrTb"/>
            <w:noWrap w:val="false"/>
          </w:tcPr>
          <w:p>
            <w:pPr>
              <w:pStyle w:val="982"/>
              <w:jc w:val="center"/>
              <w:rPr>
                <w:sz w:val="24"/>
                <w:highlight w:val="none"/>
              </w:rPr>
            </w:pPr>
            <w:r>
              <w:rPr>
                <w:sz w:val="24"/>
                <w:highlight w:val="none"/>
              </w:rPr>
            </w:r>
            <w:r/>
          </w:p>
        </w:tc>
        <w:tc>
          <w:tcPr>
            <w:tcW w:w="1009" w:type="dxa"/>
            <w:vAlign w:val="center"/>
            <w:textDirection w:val="lrTb"/>
            <w:noWrap w:val="false"/>
          </w:tcPr>
          <w:p>
            <w:pPr>
              <w:pStyle w:val="982"/>
              <w:jc w:val="center"/>
              <w:rPr>
                <w:sz w:val="24"/>
                <w:highlight w:val="none"/>
              </w:rPr>
            </w:pPr>
            <w:r>
              <w:rPr>
                <w:sz w:val="24"/>
                <w:highlight w:val="none"/>
              </w:rPr>
            </w:r>
            <w:r/>
          </w:p>
        </w:tc>
      </w:tr>
      <w:tr>
        <w:trPr>
          <w:trHeight w:val="930"/>
        </w:trPr>
        <w:tc>
          <w:tcPr>
            <w:tcW w:w="775" w:type="dxa"/>
            <w:vAlign w:val="center"/>
            <w:textDirection w:val="lrTb"/>
            <w:noWrap w:val="false"/>
          </w:tcPr>
          <w:p>
            <w:pPr>
              <w:pStyle w:val="982"/>
              <w:jc w:val="center"/>
              <w:rPr>
                <w:sz w:val="24"/>
                <w:highlight w:val="none"/>
              </w:rPr>
            </w:pPr>
            <w:r>
              <w:rPr>
                <w:sz w:val="24"/>
                <w:highlight w:val="none"/>
              </w:rPr>
            </w:r>
            <w:r/>
          </w:p>
        </w:tc>
        <w:tc>
          <w:tcPr>
            <w:tcW w:w="1482" w:type="dxa"/>
            <w:vAlign w:val="center"/>
            <w:textDirection w:val="lrTb"/>
            <w:noWrap w:val="false"/>
          </w:tcPr>
          <w:p>
            <w:pPr>
              <w:pStyle w:val="982"/>
              <w:jc w:val="center"/>
              <w:rPr>
                <w:sz w:val="24"/>
                <w:highlight w:val="none"/>
              </w:rPr>
            </w:pPr>
            <w:r>
              <w:rPr>
                <w:sz w:val="24"/>
                <w:highlight w:val="none"/>
              </w:rPr>
            </w:r>
            <w:r/>
          </w:p>
        </w:tc>
        <w:tc>
          <w:tcPr>
            <w:tcW w:w="2384" w:type="dxa"/>
            <w:vAlign w:val="center"/>
            <w:textDirection w:val="lrTb"/>
            <w:noWrap w:val="false"/>
          </w:tcPr>
          <w:p>
            <w:pPr>
              <w:pStyle w:val="982"/>
              <w:jc w:val="center"/>
              <w:rPr>
                <w:sz w:val="24"/>
                <w:highlight w:val="none"/>
              </w:rPr>
            </w:pPr>
            <w:r>
              <w:rPr>
                <w:sz w:val="24"/>
                <w:highlight w:val="none"/>
              </w:rPr>
            </w:r>
            <w:r/>
          </w:p>
        </w:tc>
        <w:tc>
          <w:tcPr>
            <w:tcW w:w="2126" w:type="dxa"/>
            <w:vAlign w:val="center"/>
            <w:textDirection w:val="lrTb"/>
            <w:noWrap w:val="false"/>
          </w:tcPr>
          <w:p>
            <w:pPr>
              <w:pStyle w:val="982"/>
              <w:jc w:val="center"/>
              <w:rPr>
                <w:sz w:val="24"/>
                <w:highlight w:val="none"/>
              </w:rPr>
            </w:pPr>
            <w:r>
              <w:rPr>
                <w:sz w:val="24"/>
                <w:highlight w:val="none"/>
              </w:rPr>
            </w:r>
            <w:r/>
          </w:p>
        </w:tc>
        <w:tc>
          <w:tcPr>
            <w:tcW w:w="1875" w:type="dxa"/>
            <w:vAlign w:val="center"/>
            <w:textDirection w:val="lrTb"/>
            <w:noWrap w:val="false"/>
          </w:tcPr>
          <w:p>
            <w:pPr>
              <w:pStyle w:val="982"/>
              <w:jc w:val="center"/>
              <w:rPr>
                <w:sz w:val="24"/>
                <w:highlight w:val="none"/>
              </w:rPr>
            </w:pPr>
            <w:r>
              <w:rPr>
                <w:sz w:val="24"/>
                <w:highlight w:val="none"/>
              </w:rPr>
            </w:r>
            <w:r/>
          </w:p>
        </w:tc>
        <w:tc>
          <w:tcPr>
            <w:tcW w:w="1009" w:type="dxa"/>
            <w:vAlign w:val="center"/>
            <w:textDirection w:val="lrTb"/>
            <w:noWrap w:val="false"/>
          </w:tcPr>
          <w:p>
            <w:pPr>
              <w:pStyle w:val="982"/>
              <w:jc w:val="center"/>
              <w:rPr>
                <w:sz w:val="24"/>
                <w:highlight w:val="none"/>
              </w:rPr>
            </w:pPr>
            <w:r>
              <w:rPr>
                <w:sz w:val="24"/>
                <w:highlight w:val="none"/>
              </w:rPr>
            </w:r>
            <w:r/>
          </w:p>
        </w:tc>
      </w:tr>
      <w:tr>
        <w:trPr>
          <w:trHeight w:val="930"/>
        </w:trPr>
        <w:tc>
          <w:tcPr>
            <w:tcW w:w="775" w:type="dxa"/>
            <w:vAlign w:val="center"/>
            <w:textDirection w:val="lrTb"/>
            <w:noWrap w:val="false"/>
          </w:tcPr>
          <w:p>
            <w:pPr>
              <w:pStyle w:val="982"/>
              <w:jc w:val="center"/>
              <w:rPr>
                <w:sz w:val="24"/>
                <w:highlight w:val="none"/>
              </w:rPr>
            </w:pPr>
            <w:r>
              <w:rPr>
                <w:sz w:val="24"/>
                <w:highlight w:val="none"/>
              </w:rPr>
            </w:r>
            <w:r/>
          </w:p>
        </w:tc>
        <w:tc>
          <w:tcPr>
            <w:tcW w:w="1482" w:type="dxa"/>
            <w:vAlign w:val="center"/>
            <w:textDirection w:val="lrTb"/>
            <w:noWrap w:val="false"/>
          </w:tcPr>
          <w:p>
            <w:pPr>
              <w:pStyle w:val="982"/>
              <w:jc w:val="center"/>
              <w:rPr>
                <w:sz w:val="24"/>
                <w:highlight w:val="none"/>
              </w:rPr>
            </w:pPr>
            <w:r>
              <w:rPr>
                <w:sz w:val="24"/>
                <w:highlight w:val="none"/>
              </w:rPr>
            </w:r>
            <w:r/>
          </w:p>
        </w:tc>
        <w:tc>
          <w:tcPr>
            <w:tcW w:w="2384" w:type="dxa"/>
            <w:vAlign w:val="center"/>
            <w:textDirection w:val="lrTb"/>
            <w:noWrap w:val="false"/>
          </w:tcPr>
          <w:p>
            <w:pPr>
              <w:pStyle w:val="982"/>
              <w:jc w:val="center"/>
              <w:rPr>
                <w:sz w:val="24"/>
                <w:highlight w:val="none"/>
              </w:rPr>
            </w:pPr>
            <w:r>
              <w:rPr>
                <w:sz w:val="24"/>
                <w:highlight w:val="none"/>
              </w:rPr>
            </w:r>
            <w:r/>
          </w:p>
        </w:tc>
        <w:tc>
          <w:tcPr>
            <w:tcW w:w="2126" w:type="dxa"/>
            <w:vAlign w:val="center"/>
            <w:textDirection w:val="lrTb"/>
            <w:noWrap w:val="false"/>
          </w:tcPr>
          <w:p>
            <w:pPr>
              <w:pStyle w:val="982"/>
              <w:jc w:val="center"/>
              <w:rPr>
                <w:sz w:val="24"/>
                <w:highlight w:val="none"/>
              </w:rPr>
            </w:pPr>
            <w:r>
              <w:rPr>
                <w:sz w:val="24"/>
                <w:highlight w:val="none"/>
              </w:rPr>
            </w:r>
            <w:r/>
          </w:p>
        </w:tc>
        <w:tc>
          <w:tcPr>
            <w:tcW w:w="1875" w:type="dxa"/>
            <w:vAlign w:val="center"/>
            <w:textDirection w:val="lrTb"/>
            <w:noWrap w:val="false"/>
          </w:tcPr>
          <w:p>
            <w:pPr>
              <w:pStyle w:val="982"/>
              <w:jc w:val="center"/>
              <w:rPr>
                <w:sz w:val="24"/>
                <w:highlight w:val="none"/>
              </w:rPr>
            </w:pPr>
            <w:r>
              <w:rPr>
                <w:sz w:val="24"/>
                <w:highlight w:val="none"/>
              </w:rPr>
            </w:r>
            <w:r/>
          </w:p>
        </w:tc>
        <w:tc>
          <w:tcPr>
            <w:tcW w:w="1009" w:type="dxa"/>
            <w:vAlign w:val="center"/>
            <w:textDirection w:val="lrTb"/>
            <w:noWrap w:val="false"/>
          </w:tcPr>
          <w:p>
            <w:pPr>
              <w:pStyle w:val="982"/>
              <w:jc w:val="center"/>
              <w:rPr>
                <w:sz w:val="24"/>
                <w:highlight w:val="none"/>
              </w:rPr>
            </w:pPr>
            <w:r>
              <w:rPr>
                <w:sz w:val="24"/>
                <w:highlight w:val="none"/>
              </w:rPr>
            </w:r>
            <w:r/>
          </w:p>
        </w:tc>
      </w:tr>
      <w:tr>
        <w:trPr>
          <w:trHeight w:val="930"/>
        </w:trPr>
        <w:tc>
          <w:tcPr>
            <w:tcW w:w="775" w:type="dxa"/>
            <w:vAlign w:val="center"/>
            <w:textDirection w:val="lrTb"/>
            <w:noWrap w:val="false"/>
          </w:tcPr>
          <w:p>
            <w:pPr>
              <w:pStyle w:val="982"/>
              <w:jc w:val="center"/>
              <w:rPr>
                <w:sz w:val="24"/>
                <w:highlight w:val="none"/>
              </w:rPr>
            </w:pPr>
            <w:r>
              <w:rPr>
                <w:sz w:val="24"/>
                <w:highlight w:val="none"/>
              </w:rPr>
            </w:r>
            <w:r/>
          </w:p>
        </w:tc>
        <w:tc>
          <w:tcPr>
            <w:tcW w:w="1482" w:type="dxa"/>
            <w:vAlign w:val="center"/>
            <w:textDirection w:val="lrTb"/>
            <w:noWrap w:val="false"/>
          </w:tcPr>
          <w:p>
            <w:pPr>
              <w:pStyle w:val="982"/>
              <w:jc w:val="center"/>
              <w:rPr>
                <w:sz w:val="24"/>
                <w:highlight w:val="none"/>
              </w:rPr>
            </w:pPr>
            <w:r>
              <w:rPr>
                <w:sz w:val="24"/>
                <w:highlight w:val="none"/>
              </w:rPr>
            </w:r>
            <w:r/>
          </w:p>
        </w:tc>
        <w:tc>
          <w:tcPr>
            <w:tcW w:w="2384" w:type="dxa"/>
            <w:vAlign w:val="center"/>
            <w:textDirection w:val="lrTb"/>
            <w:noWrap w:val="false"/>
          </w:tcPr>
          <w:p>
            <w:pPr>
              <w:pStyle w:val="982"/>
              <w:jc w:val="center"/>
              <w:rPr>
                <w:sz w:val="24"/>
                <w:highlight w:val="none"/>
              </w:rPr>
            </w:pPr>
            <w:r>
              <w:rPr>
                <w:sz w:val="24"/>
                <w:highlight w:val="none"/>
              </w:rPr>
            </w:r>
            <w:r/>
          </w:p>
        </w:tc>
        <w:tc>
          <w:tcPr>
            <w:tcW w:w="2126" w:type="dxa"/>
            <w:vAlign w:val="center"/>
            <w:textDirection w:val="lrTb"/>
            <w:noWrap w:val="false"/>
          </w:tcPr>
          <w:p>
            <w:pPr>
              <w:pStyle w:val="982"/>
              <w:jc w:val="center"/>
              <w:rPr>
                <w:sz w:val="24"/>
                <w:highlight w:val="none"/>
              </w:rPr>
            </w:pPr>
            <w:r>
              <w:rPr>
                <w:sz w:val="24"/>
                <w:highlight w:val="none"/>
              </w:rPr>
            </w:r>
            <w:r/>
          </w:p>
        </w:tc>
        <w:tc>
          <w:tcPr>
            <w:tcW w:w="1875" w:type="dxa"/>
            <w:vAlign w:val="center"/>
            <w:textDirection w:val="lrTb"/>
            <w:noWrap w:val="false"/>
          </w:tcPr>
          <w:p>
            <w:pPr>
              <w:pStyle w:val="982"/>
              <w:jc w:val="center"/>
              <w:rPr>
                <w:sz w:val="24"/>
                <w:highlight w:val="none"/>
              </w:rPr>
            </w:pPr>
            <w:r>
              <w:rPr>
                <w:sz w:val="24"/>
                <w:highlight w:val="none"/>
              </w:rPr>
            </w:r>
            <w:r/>
          </w:p>
        </w:tc>
        <w:tc>
          <w:tcPr>
            <w:tcW w:w="1009" w:type="dxa"/>
            <w:vAlign w:val="center"/>
            <w:textDirection w:val="lrTb"/>
            <w:noWrap w:val="false"/>
          </w:tcPr>
          <w:p>
            <w:pPr>
              <w:pStyle w:val="982"/>
              <w:jc w:val="center"/>
              <w:rPr>
                <w:sz w:val="24"/>
                <w:highlight w:val="none"/>
              </w:rPr>
            </w:pPr>
            <w:r>
              <w:rPr>
                <w:sz w:val="24"/>
                <w:highlight w:val="none"/>
              </w:rPr>
            </w:r>
            <w:r/>
          </w:p>
        </w:tc>
      </w:tr>
      <w:tr>
        <w:trPr>
          <w:trHeight w:val="930"/>
        </w:trPr>
        <w:tc>
          <w:tcPr>
            <w:tcW w:w="775" w:type="dxa"/>
            <w:vAlign w:val="center"/>
            <w:textDirection w:val="lrTb"/>
            <w:noWrap w:val="false"/>
          </w:tcPr>
          <w:p>
            <w:pPr>
              <w:pStyle w:val="982"/>
              <w:jc w:val="center"/>
              <w:rPr>
                <w:sz w:val="24"/>
                <w:highlight w:val="none"/>
              </w:rPr>
            </w:pPr>
            <w:r>
              <w:rPr>
                <w:sz w:val="24"/>
                <w:highlight w:val="none"/>
              </w:rPr>
            </w:r>
            <w:r/>
          </w:p>
        </w:tc>
        <w:tc>
          <w:tcPr>
            <w:tcW w:w="1482" w:type="dxa"/>
            <w:vAlign w:val="center"/>
            <w:textDirection w:val="lrTb"/>
            <w:noWrap w:val="false"/>
          </w:tcPr>
          <w:p>
            <w:pPr>
              <w:pStyle w:val="982"/>
              <w:jc w:val="center"/>
              <w:rPr>
                <w:sz w:val="24"/>
                <w:highlight w:val="none"/>
              </w:rPr>
            </w:pPr>
            <w:r>
              <w:rPr>
                <w:sz w:val="24"/>
                <w:highlight w:val="none"/>
              </w:rPr>
            </w:r>
            <w:r/>
          </w:p>
        </w:tc>
        <w:tc>
          <w:tcPr>
            <w:tcW w:w="2384" w:type="dxa"/>
            <w:vAlign w:val="center"/>
            <w:textDirection w:val="lrTb"/>
            <w:noWrap w:val="false"/>
          </w:tcPr>
          <w:p>
            <w:pPr>
              <w:pStyle w:val="982"/>
              <w:jc w:val="center"/>
              <w:rPr>
                <w:sz w:val="24"/>
                <w:highlight w:val="none"/>
              </w:rPr>
            </w:pPr>
            <w:r>
              <w:rPr>
                <w:sz w:val="24"/>
                <w:highlight w:val="none"/>
              </w:rPr>
            </w:r>
            <w:r/>
          </w:p>
        </w:tc>
        <w:tc>
          <w:tcPr>
            <w:tcW w:w="2126" w:type="dxa"/>
            <w:vAlign w:val="center"/>
            <w:textDirection w:val="lrTb"/>
            <w:noWrap w:val="false"/>
          </w:tcPr>
          <w:p>
            <w:pPr>
              <w:pStyle w:val="982"/>
              <w:jc w:val="center"/>
              <w:rPr>
                <w:sz w:val="24"/>
                <w:highlight w:val="none"/>
              </w:rPr>
            </w:pPr>
            <w:r>
              <w:rPr>
                <w:sz w:val="24"/>
                <w:highlight w:val="none"/>
              </w:rPr>
            </w:r>
            <w:r/>
          </w:p>
        </w:tc>
        <w:tc>
          <w:tcPr>
            <w:tcW w:w="1875" w:type="dxa"/>
            <w:vAlign w:val="center"/>
            <w:textDirection w:val="lrTb"/>
            <w:noWrap w:val="false"/>
          </w:tcPr>
          <w:p>
            <w:pPr>
              <w:pStyle w:val="982"/>
              <w:jc w:val="center"/>
              <w:rPr>
                <w:sz w:val="24"/>
                <w:highlight w:val="none"/>
              </w:rPr>
            </w:pPr>
            <w:r>
              <w:rPr>
                <w:sz w:val="24"/>
                <w:highlight w:val="none"/>
              </w:rPr>
            </w:r>
            <w:r/>
          </w:p>
        </w:tc>
        <w:tc>
          <w:tcPr>
            <w:tcW w:w="1009" w:type="dxa"/>
            <w:vAlign w:val="center"/>
            <w:textDirection w:val="lrTb"/>
            <w:noWrap w:val="false"/>
          </w:tcPr>
          <w:p>
            <w:pPr>
              <w:pStyle w:val="982"/>
              <w:jc w:val="center"/>
              <w:rPr>
                <w:sz w:val="24"/>
                <w:highlight w:val="none"/>
              </w:rPr>
            </w:pPr>
            <w:r>
              <w:rPr>
                <w:sz w:val="24"/>
                <w:highlight w:val="none"/>
              </w:rPr>
            </w:r>
            <w:r/>
          </w:p>
        </w:tc>
      </w:tr>
    </w:tbl>
    <w:p>
      <w:pPr>
        <w:pStyle w:val="982"/>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982"/>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。此表中若无任何文字说明，内容为空白，则</w:t>
      </w:r>
      <w:r>
        <w:rPr>
          <w:b/>
          <w:sz w:val="24"/>
          <w:highlight w:val="none"/>
        </w:rPr>
        <w:t xml:space="preserve">响应无效</w:t>
      </w:r>
      <w:r>
        <w:rPr>
          <w:sz w:val="24"/>
          <w:highlight w:val="none"/>
        </w:rPr>
        <w:t xml:space="preserve">。</w:t>
      </w:r>
      <w:r>
        <w:rPr>
          <w:sz w:val="24"/>
          <w:highlight w:val="none"/>
        </w:rPr>
      </w:r>
      <w:r/>
    </w:p>
    <w:p>
      <w:pPr>
        <w:pStyle w:val="982"/>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982"/>
        <w:jc w:val="left"/>
        <w:tabs>
          <w:tab w:val="left" w:pos="1800" w:leader="none"/>
          <w:tab w:val="left" w:pos="5580" w:leader="none"/>
        </w:tabs>
        <w:rPr>
          <w:sz w:val="24"/>
          <w:highlight w:val="none"/>
        </w:rPr>
      </w:pPr>
      <w:r>
        <w:rPr>
          <w:sz w:val="24"/>
          <w:highlight w:val="none"/>
        </w:rPr>
      </w:r>
      <w:r/>
    </w:p>
    <w:p>
      <w:pPr>
        <w:pStyle w:val="982"/>
        <w:rPr>
          <w:sz w:val="24"/>
          <w:szCs w:val="20"/>
          <w:highlight w:val="none"/>
        </w:rPr>
      </w:pPr>
      <w:r>
        <w:rPr>
          <w:sz w:val="24"/>
          <w:szCs w:val="20"/>
          <w:highlight w:val="none"/>
        </w:rPr>
      </w:r>
      <w:r/>
    </w:p>
    <w:p>
      <w:pPr>
        <w:pStyle w:val="98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98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8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82"/>
        <w:spacing w:line="360" w:lineRule="auto"/>
        <w:rPr>
          <w:rFonts w:hint="eastAsia"/>
          <w:sz w:val="24"/>
          <w:szCs w:val="20"/>
          <w:highlight w:val="none"/>
        </w:rPr>
        <w:outlineLvl w:val="2"/>
      </w:pPr>
      <w:r>
        <w:rPr>
          <w:sz w:val="24"/>
          <w:szCs w:val="20"/>
          <w:highlight w:val="none"/>
        </w:rPr>
        <w:br w:type="page" w:clear="all"/>
      </w:r>
      <w:r>
        <w:rPr>
          <w:rFonts w:hint="eastAsia"/>
          <w:sz w:val="24"/>
          <w:szCs w:val="20"/>
          <w:highlight w:val="none"/>
        </w:rPr>
      </w:r>
      <w:r/>
    </w:p>
    <w:p>
      <w:pPr>
        <w:pStyle w:val="982"/>
        <w:spacing w:line="360" w:lineRule="auto"/>
        <w:rPr>
          <w:sz w:val="24"/>
          <w:szCs w:val="20"/>
          <w:highlight w:val="none"/>
        </w:rPr>
        <w:outlineLvl w:val="2"/>
      </w:pPr>
      <w:r>
        <w:rPr>
          <w:rFonts w:hint="eastAsia"/>
          <w:sz w:val="24"/>
          <w:szCs w:val="20"/>
          <w:highlight w:val="none"/>
        </w:rPr>
        <w:t xml:space="preserve">1</w:t>
      </w:r>
      <w:r>
        <w:rPr>
          <w:rFonts w:hint="eastAsia"/>
          <w:sz w:val="24"/>
          <w:szCs w:val="20"/>
          <w:highlight w:val="none"/>
          <w:lang w:val="en-US" w:eastAsia="zh-CN"/>
        </w:rPr>
        <w:t xml:space="preserve">2</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982"/>
        <w:ind w:firstLine="480"/>
        <w:spacing w:line="560" w:lineRule="exact"/>
        <w:rPr>
          <w:rFonts w:hint="eastAsia"/>
          <w:sz w:val="24"/>
          <w:szCs w:val="20"/>
          <w:highlight w:val="none"/>
        </w:rPr>
      </w:pPr>
      <w:r>
        <w:rPr>
          <w:rFonts w:hint="eastAsia"/>
          <w:sz w:val="24"/>
          <w:szCs w:val="20"/>
          <w:highlight w:val="none"/>
        </w:rPr>
        <w:t xml:space="preserve">1）总体施工组织及规划；</w:t>
      </w:r>
      <w:r>
        <w:rPr>
          <w:rFonts w:hint="eastAsia"/>
          <w:sz w:val="24"/>
          <w:szCs w:val="20"/>
          <w:highlight w:val="none"/>
        </w:rPr>
      </w:r>
      <w:r/>
    </w:p>
    <w:p>
      <w:pPr>
        <w:pStyle w:val="982"/>
        <w:ind w:firstLine="480"/>
        <w:spacing w:line="560" w:lineRule="exact"/>
        <w:rPr>
          <w:sz w:val="24"/>
          <w:szCs w:val="20"/>
          <w:highlight w:val="none"/>
        </w:rPr>
      </w:pPr>
      <w:r>
        <w:rPr>
          <w:rFonts w:hint="eastAsia"/>
          <w:sz w:val="24"/>
          <w:szCs w:val="20"/>
          <w:highlight w:val="none"/>
        </w:rPr>
        <w:t xml:space="preserve">2）主要工程项目的施工方案、方法与技术措施；</w:t>
      </w:r>
      <w:r>
        <w:rPr>
          <w:sz w:val="24"/>
          <w:szCs w:val="20"/>
          <w:highlight w:val="none"/>
        </w:rPr>
      </w:r>
      <w:r/>
    </w:p>
    <w:p>
      <w:pPr>
        <w:pStyle w:val="982"/>
        <w:ind w:firstLine="480"/>
        <w:spacing w:line="560" w:lineRule="exact"/>
        <w:rPr>
          <w:sz w:val="24"/>
          <w:szCs w:val="20"/>
          <w:highlight w:val="none"/>
        </w:rPr>
      </w:pPr>
      <w:r>
        <w:rPr>
          <w:rFonts w:hint="eastAsia"/>
          <w:sz w:val="24"/>
          <w:szCs w:val="20"/>
          <w:highlight w:val="none"/>
        </w:rPr>
        <w:t xml:space="preserve">3）工程质量管理、工期保证体系及保证措施；</w:t>
      </w:r>
      <w:r>
        <w:rPr>
          <w:sz w:val="24"/>
          <w:szCs w:val="20"/>
          <w:highlight w:val="none"/>
        </w:rPr>
      </w:r>
      <w:r/>
    </w:p>
    <w:p>
      <w:pPr>
        <w:pStyle w:val="982"/>
        <w:ind w:firstLine="480"/>
        <w:spacing w:line="560" w:lineRule="exact"/>
        <w:rPr>
          <w:rFonts w:hint="eastAsia"/>
          <w:sz w:val="24"/>
          <w:szCs w:val="20"/>
          <w:highlight w:val="none"/>
        </w:rPr>
      </w:pPr>
      <w:r>
        <w:rPr>
          <w:rFonts w:hint="eastAsia"/>
          <w:sz w:val="24"/>
          <w:szCs w:val="20"/>
          <w:highlight w:val="none"/>
        </w:rPr>
        <w:t xml:space="preserve">4）安全生产管理体系及保证措施；</w:t>
      </w:r>
      <w:r>
        <w:rPr>
          <w:rFonts w:hint="eastAsia"/>
          <w:sz w:val="24"/>
          <w:szCs w:val="20"/>
          <w:highlight w:val="none"/>
        </w:rPr>
      </w:r>
      <w:r/>
    </w:p>
    <w:p>
      <w:pPr>
        <w:pStyle w:val="982"/>
        <w:ind w:firstLine="480"/>
        <w:spacing w:line="560" w:lineRule="exact"/>
        <w:rPr>
          <w:sz w:val="24"/>
          <w:szCs w:val="20"/>
          <w:highlight w:val="none"/>
        </w:rPr>
      </w:pPr>
      <w:r>
        <w:rPr>
          <w:rFonts w:hint="eastAsia"/>
          <w:sz w:val="24"/>
          <w:szCs w:val="20"/>
          <w:highlight w:val="none"/>
        </w:rPr>
        <w:t xml:space="preserve">5）文明施工、环保（含扬尘污染防治专项方案）及其他保证措施。</w:t>
      </w:r>
      <w:r>
        <w:rPr>
          <w:sz w:val="24"/>
          <w:szCs w:val="20"/>
          <w:highlight w:val="none"/>
        </w:rPr>
      </w:r>
      <w:r/>
    </w:p>
    <w:p>
      <w:pPr>
        <w:pStyle w:val="982"/>
        <w:spacing w:line="360" w:lineRule="auto"/>
        <w:rPr>
          <w:sz w:val="24"/>
          <w:szCs w:val="20"/>
          <w:highlight w:val="none"/>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highlight w:val="none"/>
        </w:rPr>
      </w:r>
      <w:r/>
    </w:p>
    <w:p>
      <w:pPr>
        <w:pStyle w:val="982"/>
        <w:rPr>
          <w:rFonts w:hint="eastAsia"/>
          <w:sz w:val="24"/>
          <w:szCs w:val="20"/>
          <w:highlight w:val="none"/>
        </w:rPr>
      </w:pPr>
      <w:r>
        <w:rPr>
          <w:rFonts w:hint="eastAsia"/>
          <w:sz w:val="24"/>
          <w:szCs w:val="20"/>
          <w:highlight w:val="none"/>
        </w:rPr>
      </w:r>
      <w:r/>
    </w:p>
    <w:p>
      <w:pPr>
        <w:pStyle w:val="982"/>
        <w:rPr>
          <w:sz w:val="24"/>
          <w:szCs w:val="20"/>
          <w:highlight w:val="none"/>
        </w:rPr>
      </w:pPr>
      <w:r>
        <w:rPr>
          <w:rFonts w:hint="eastAsia"/>
          <w:sz w:val="24"/>
          <w:szCs w:val="20"/>
          <w:highlight w:val="none"/>
        </w:rPr>
        <w:t xml:space="preserve">1</w:t>
      </w:r>
      <w:r>
        <w:rPr>
          <w:rFonts w:hint="eastAsia"/>
          <w:sz w:val="24"/>
          <w:szCs w:val="20"/>
          <w:highlight w:val="none"/>
          <w:lang w:val="en-US" w:eastAsia="zh-CN"/>
        </w:rPr>
        <w:t xml:space="preserve">3</w:t>
      </w:r>
      <w:r>
        <w:rPr>
          <w:rFonts w:hint="eastAsia"/>
          <w:sz w:val="24"/>
          <w:szCs w:val="20"/>
          <w:highlight w:val="none"/>
        </w:rPr>
        <w:t xml:space="preserve">  参加本项目人员一览表</w:t>
      </w:r>
      <w:r>
        <w:rPr>
          <w:sz w:val="24"/>
          <w:szCs w:val="20"/>
          <w:highlight w:val="none"/>
        </w:rPr>
      </w:r>
      <w:r/>
    </w:p>
    <w:p>
      <w:pPr>
        <w:pStyle w:val="98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8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82"/>
        <w:spacing w:line="360" w:lineRule="auto"/>
        <w:rPr>
          <w:rFonts w:ascii="宋体" w:hAnsi="宋体"/>
          <w:sz w:val="22"/>
          <w:highlight w:val="none"/>
        </w:rPr>
      </w:pPr>
      <w:r>
        <w:rPr>
          <w:rFonts w:ascii="宋体" w:hAnsi="宋体"/>
          <w:sz w:val="22"/>
          <w:highlight w:val="none"/>
        </w:rPr>
      </w:r>
      <w:r/>
    </w:p>
    <w:p>
      <w:pPr>
        <w:pStyle w:val="98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8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8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982"/>
        <w:spacing w:line="360" w:lineRule="auto"/>
        <w:rPr>
          <w:rFonts w:ascii="宋体" w:hAnsi="宋体"/>
          <w:sz w:val="24"/>
          <w:highlight w:val="none"/>
        </w:rPr>
      </w:pPr>
      <w:r>
        <w:rPr>
          <w:rFonts w:ascii="宋体" w:hAnsi="宋体"/>
          <w:sz w:val="24"/>
          <w:highlight w:val="none"/>
        </w:rPr>
      </w:r>
      <w:r/>
    </w:p>
    <w:p>
      <w:pPr>
        <w:pStyle w:val="98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98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982"/>
        <w:rPr>
          <w:rFonts w:hint="eastAsia"/>
          <w:sz w:val="22"/>
          <w:highlight w:val="none"/>
        </w:rPr>
      </w:pPr>
      <w:r>
        <w:rPr>
          <w:sz w:val="22"/>
          <w:highlight w:val="none"/>
        </w:rPr>
        <w:br w:type="page" w:clear="all"/>
      </w:r>
      <w:bookmarkStart w:id="712" w:name="_Toc288738397"/>
      <w:r/>
      <w:bookmarkStart w:id="713" w:name="_Toc288738839"/>
      <w:r>
        <w:rPr>
          <w:rFonts w:hint="eastAsia"/>
          <w:sz w:val="22"/>
          <w:highlight w:val="none"/>
        </w:rPr>
      </w:r>
      <w:r/>
    </w:p>
    <w:p>
      <w:pPr>
        <w:pStyle w:val="982"/>
        <w:rPr>
          <w:sz w:val="24"/>
          <w:szCs w:val="20"/>
          <w:highlight w:val="none"/>
        </w:rPr>
      </w:pPr>
      <w:r>
        <w:rPr>
          <w:rFonts w:hint="eastAsia"/>
          <w:sz w:val="24"/>
          <w:szCs w:val="20"/>
          <w:highlight w:val="none"/>
        </w:rPr>
        <w:t xml:space="preserve">1</w:t>
      </w:r>
      <w:r>
        <w:rPr>
          <w:rFonts w:hint="eastAsia"/>
          <w:sz w:val="24"/>
          <w:szCs w:val="20"/>
          <w:highlight w:val="none"/>
          <w:lang w:val="en-US" w:eastAsia="zh-CN"/>
        </w:rPr>
        <w:t xml:space="preserve">4</w:t>
      </w:r>
      <w:r>
        <w:rPr>
          <w:rFonts w:hint="eastAsia"/>
          <w:sz w:val="24"/>
          <w:szCs w:val="20"/>
          <w:highlight w:val="none"/>
        </w:rPr>
        <w:t xml:space="preserve">  拟投入项目经理业绩一览表</w:t>
      </w:r>
      <w:r>
        <w:rPr>
          <w:sz w:val="24"/>
          <w:szCs w:val="20"/>
          <w:highlight w:val="none"/>
        </w:rPr>
      </w:r>
      <w:r/>
    </w:p>
    <w:p>
      <w:pPr>
        <w:pStyle w:val="982"/>
        <w:jc w:val="center"/>
        <w:spacing w:line="360" w:lineRule="auto"/>
        <w:rPr>
          <w:rFonts w:ascii="宋体" w:hAnsi="宋体"/>
          <w:b/>
          <w:sz w:val="32"/>
          <w:szCs w:val="32"/>
          <w:highlight w:val="none"/>
        </w:rPr>
      </w:pPr>
      <w:r>
        <w:rPr>
          <w:rFonts w:ascii="宋体" w:hAnsi="宋体"/>
          <w:b/>
          <w:sz w:val="32"/>
          <w:szCs w:val="32"/>
          <w:highlight w:val="none"/>
        </w:rPr>
      </w:r>
      <w:r/>
    </w:p>
    <w:p>
      <w:pPr>
        <w:pStyle w:val="982"/>
        <w:jc w:val="center"/>
        <w:spacing w:line="360" w:lineRule="auto"/>
        <w:rPr>
          <w:rFonts w:ascii="宋体" w:hAnsi="宋体"/>
          <w:b/>
          <w:sz w:val="32"/>
          <w:szCs w:val="32"/>
          <w:highlight w:val="none"/>
        </w:rPr>
      </w:pPr>
      <w:r>
        <w:rPr>
          <w:rFonts w:hint="eastAsia" w:ascii="宋体" w:hAnsi="宋体"/>
          <w:b/>
          <w:sz w:val="32"/>
          <w:szCs w:val="32"/>
          <w:highlight w:val="none"/>
        </w:rPr>
        <w:t xml:space="preserve">拟投入项目经理业绩一览表</w:t>
      </w:r>
      <w:r>
        <w:rPr>
          <w:rFonts w:ascii="宋体" w:hAnsi="宋体"/>
          <w:b/>
          <w:sz w:val="32"/>
          <w:szCs w:val="32"/>
          <w:highlight w:val="none"/>
        </w:rPr>
      </w:r>
      <w:r/>
    </w:p>
    <w:p>
      <w:pPr>
        <w:pStyle w:val="982"/>
        <w:spacing w:line="360" w:lineRule="auto"/>
        <w:rPr>
          <w:rFonts w:ascii="宋体" w:hAnsi="宋体"/>
          <w:sz w:val="22"/>
          <w:highlight w:val="none"/>
        </w:rPr>
      </w:pPr>
      <w:r>
        <w:rPr>
          <w:rFonts w:ascii="宋体" w:hAnsi="宋体"/>
          <w:sz w:val="22"/>
          <w:highlight w:val="none"/>
        </w:rPr>
      </w:r>
      <w:r/>
    </w:p>
    <w:p>
      <w:pPr>
        <w:pStyle w:val="98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gridCol w:w="948"/>
      </w:tblGrid>
      <w:tr>
        <w:trPr>
          <w:trHeight w:val="510"/>
        </w:trPr>
        <w:tc>
          <w:tcPr>
            <w:tcW w:w="507" w:type="dxa"/>
            <w:vAlign w:val="center"/>
            <w:textDirection w:val="lrTb"/>
            <w:noWrap w:val="false"/>
          </w:tcPr>
          <w:p>
            <w:pPr>
              <w:pStyle w:val="982"/>
              <w:rPr>
                <w:rFonts w:ascii="宋体" w:hAnsi="宋体" w:cs="仿宋"/>
                <w:sz w:val="24"/>
                <w:highlight w:val="none"/>
              </w:rPr>
            </w:pPr>
            <w:r>
              <w:rPr>
                <w:rFonts w:hint="eastAsia" w:ascii="宋体" w:hAnsi="宋体" w:cs="仿宋"/>
                <w:sz w:val="24"/>
                <w:highlight w:val="none"/>
              </w:rPr>
              <w:t xml:space="preserve">序号</w:t>
            </w:r>
            <w:r>
              <w:rPr>
                <w:rFonts w:ascii="宋体" w:hAnsi="宋体" w:cs="仿宋"/>
                <w:sz w:val="24"/>
                <w:highlight w:val="none"/>
              </w:rPr>
            </w:r>
            <w:r/>
          </w:p>
        </w:tc>
        <w:tc>
          <w:tcPr>
            <w:tcW w:w="1490"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项目名称</w:t>
            </w:r>
            <w:r>
              <w:rPr>
                <w:rFonts w:ascii="宋体" w:hAnsi="宋体" w:cs="仿宋"/>
                <w:sz w:val="24"/>
                <w:highlight w:val="none"/>
              </w:rPr>
            </w:r>
            <w:r/>
          </w:p>
        </w:tc>
        <w:tc>
          <w:tcPr>
            <w:tcW w:w="1204"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交/竣工时间</w:t>
            </w:r>
            <w:r>
              <w:rPr>
                <w:rFonts w:ascii="宋体" w:hAnsi="宋体" w:cs="仿宋"/>
                <w:sz w:val="24"/>
                <w:highlight w:val="none"/>
              </w:rPr>
            </w:r>
            <w:r/>
          </w:p>
        </w:tc>
        <w:tc>
          <w:tcPr>
            <w:tcW w:w="2022"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主要工作内容</w:t>
            </w:r>
            <w:r>
              <w:rPr>
                <w:rFonts w:ascii="宋体" w:hAnsi="宋体" w:cs="仿宋"/>
                <w:sz w:val="24"/>
                <w:highlight w:val="none"/>
              </w:rPr>
            </w:r>
            <w:r/>
          </w:p>
        </w:tc>
        <w:tc>
          <w:tcPr>
            <w:tcW w:w="1114"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合同金额</w:t>
            </w:r>
            <w:r>
              <w:rPr>
                <w:rFonts w:ascii="宋体" w:hAnsi="宋体" w:cs="仿宋"/>
                <w:sz w:val="24"/>
                <w:highlight w:val="none"/>
              </w:rPr>
            </w:r>
            <w:r/>
          </w:p>
        </w:tc>
        <w:tc>
          <w:tcPr>
            <w:tcW w:w="1042"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在项目中担任的职务</w:t>
            </w:r>
            <w:r>
              <w:rPr>
                <w:rFonts w:ascii="宋体" w:hAnsi="宋体" w:cs="仿宋"/>
                <w:sz w:val="24"/>
                <w:highlight w:val="none"/>
              </w:rPr>
            </w:r>
            <w:r/>
          </w:p>
        </w:tc>
        <w:tc>
          <w:tcPr>
            <w:tcW w:w="1042"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业主单位</w:t>
            </w:r>
            <w:r>
              <w:rPr>
                <w:rFonts w:ascii="宋体" w:hAnsi="宋体" w:cs="仿宋"/>
                <w:sz w:val="24"/>
                <w:highlight w:val="none"/>
              </w:rPr>
            </w:r>
            <w:r/>
          </w:p>
        </w:tc>
        <w:tc>
          <w:tcPr>
            <w:tcW w:w="948" w:type="dxa"/>
            <w:vAlign w:val="center"/>
            <w:textDirection w:val="lrTb"/>
            <w:noWrap w:val="false"/>
          </w:tcPr>
          <w:p>
            <w:pPr>
              <w:pStyle w:val="982"/>
              <w:jc w:val="center"/>
              <w:rPr>
                <w:rFonts w:ascii="宋体" w:hAnsi="宋体" w:cs="仿宋"/>
                <w:sz w:val="24"/>
                <w:highlight w:val="none"/>
              </w:rPr>
            </w:pPr>
            <w:r>
              <w:rPr>
                <w:rFonts w:hint="eastAsia" w:ascii="宋体" w:hAnsi="宋体" w:cs="仿宋"/>
                <w:sz w:val="24"/>
                <w:highlight w:val="none"/>
              </w:rPr>
              <w:t xml:space="preserve">对应证明材料页码</w:t>
            </w:r>
            <w:r>
              <w:rPr>
                <w:rFonts w:ascii="宋体" w:hAnsi="宋体" w:cs="仿宋"/>
                <w:sz w:val="24"/>
                <w:highlight w:val="none"/>
              </w:rPr>
            </w:r>
            <w:r/>
          </w:p>
        </w:tc>
      </w:tr>
      <w:tr>
        <w:trPr>
          <w:trHeight w:val="510"/>
        </w:trPr>
        <w:tc>
          <w:tcPr>
            <w:tcW w:w="507"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490"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204"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2022"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114"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948"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r>
      <w:tr>
        <w:trPr>
          <w:trHeight w:val="510"/>
        </w:trPr>
        <w:tc>
          <w:tcPr>
            <w:tcW w:w="507"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490"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204"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2022"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114"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948"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r>
      <w:tr>
        <w:trPr>
          <w:trHeight w:val="510"/>
        </w:trPr>
        <w:tc>
          <w:tcPr>
            <w:tcW w:w="507"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490"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204"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2022"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114"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948"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r>
      <w:tr>
        <w:trPr>
          <w:trHeight w:val="510"/>
        </w:trPr>
        <w:tc>
          <w:tcPr>
            <w:tcW w:w="507"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490"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204"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2022"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114"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center"/>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1042"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c>
          <w:tcPr>
            <w:tcW w:w="948" w:type="dxa"/>
            <w:vAlign w:val="top"/>
            <w:textDirection w:val="lrTb"/>
            <w:noWrap w:val="false"/>
          </w:tcPr>
          <w:p>
            <w:pPr>
              <w:pStyle w:val="982"/>
              <w:jc w:val="center"/>
              <w:spacing w:line="400" w:lineRule="exact"/>
              <w:rPr>
                <w:rFonts w:ascii="宋体" w:hAnsi="宋体" w:cs="仿宋"/>
                <w:sz w:val="24"/>
                <w:highlight w:val="none"/>
              </w:rPr>
            </w:pPr>
            <w:r>
              <w:rPr>
                <w:rFonts w:ascii="宋体" w:hAnsi="宋体" w:cs="仿宋"/>
                <w:sz w:val="24"/>
                <w:highlight w:val="none"/>
              </w:rPr>
            </w:r>
            <w:r/>
          </w:p>
        </w:tc>
      </w:tr>
    </w:tbl>
    <w:p>
      <w:pPr>
        <w:pStyle w:val="982"/>
        <w:spacing w:before="25" w:after="25" w:line="360" w:lineRule="auto"/>
        <w:rPr>
          <w:sz w:val="24"/>
          <w:highlight w:val="none"/>
        </w:rPr>
      </w:pPr>
      <w:r>
        <w:rPr>
          <w:sz w:val="24"/>
          <w:highlight w:val="none"/>
        </w:rPr>
      </w:r>
      <w:r/>
    </w:p>
    <w:p>
      <w:pPr>
        <w:pStyle w:val="98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982"/>
        <w:rPr>
          <w:sz w:val="24"/>
          <w:szCs w:val="20"/>
          <w:highlight w:val="none"/>
        </w:rPr>
      </w:pPr>
      <w:r>
        <w:rPr>
          <w:sz w:val="24"/>
          <w:szCs w:val="20"/>
          <w:highlight w:val="none"/>
        </w:rPr>
        <w:t xml:space="preserve">日期：_____年______月______日</w:t>
      </w:r>
      <w:r>
        <w:rPr>
          <w:sz w:val="24"/>
          <w:szCs w:val="20"/>
          <w:highlight w:val="none"/>
        </w:rPr>
      </w:r>
      <w:r/>
    </w:p>
    <w:p>
      <w:pPr>
        <w:pStyle w:val="982"/>
        <w:spacing w:before="25" w:after="25" w:line="360" w:lineRule="auto"/>
        <w:rPr>
          <w:sz w:val="24"/>
          <w:szCs w:val="20"/>
          <w:highlight w:val="none"/>
        </w:rPr>
      </w:pPr>
      <w:r>
        <w:rPr>
          <w:sz w:val="24"/>
          <w:szCs w:val="20"/>
          <w:highlight w:val="none"/>
        </w:rPr>
      </w:r>
      <w:r/>
    </w:p>
    <w:p>
      <w:pPr>
        <w:pStyle w:val="982"/>
        <w:jc w:val="center"/>
        <w:spacing w:line="360" w:lineRule="auto"/>
        <w:rPr>
          <w:rFonts w:ascii="宋体" w:hAnsi="宋体"/>
          <w:b/>
          <w:sz w:val="32"/>
          <w:szCs w:val="32"/>
          <w:highlight w:val="none"/>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highlight w:val="none"/>
        </w:rPr>
      </w:r>
      <w:r/>
    </w:p>
    <w:p>
      <w:pPr>
        <w:pStyle w:val="982"/>
        <w:rPr>
          <w:rFonts w:hint="eastAsia"/>
          <w:sz w:val="24"/>
          <w:szCs w:val="20"/>
          <w:highlight w:val="none"/>
        </w:rPr>
      </w:pPr>
      <w:r>
        <w:rPr>
          <w:rFonts w:hint="eastAsia"/>
          <w:sz w:val="24"/>
          <w:szCs w:val="20"/>
          <w:highlight w:val="none"/>
        </w:rPr>
      </w:r>
      <w:r/>
    </w:p>
    <w:p>
      <w:pPr>
        <w:pStyle w:val="982"/>
        <w:rPr>
          <w:sz w:val="24"/>
          <w:szCs w:val="20"/>
          <w:highlight w:val="none"/>
        </w:rPr>
      </w:pPr>
      <w:r>
        <w:rPr>
          <w:rFonts w:hint="eastAsia"/>
          <w:sz w:val="24"/>
          <w:szCs w:val="20"/>
          <w:highlight w:val="none"/>
        </w:rPr>
        <w:t xml:space="preserve">1</w:t>
      </w:r>
      <w:r>
        <w:rPr>
          <w:rFonts w:hint="eastAsia"/>
          <w:sz w:val="24"/>
          <w:szCs w:val="20"/>
          <w:highlight w:val="none"/>
          <w:lang w:val="en-US" w:eastAsia="zh-CN"/>
        </w:rPr>
        <w:t xml:space="preserve">5</w:t>
      </w:r>
      <w:r>
        <w:rPr>
          <w:rFonts w:hint="eastAsia"/>
          <w:sz w:val="24"/>
          <w:szCs w:val="20"/>
          <w:highlight w:val="none"/>
        </w:rPr>
        <w:t xml:space="preserve">  供应商业绩案例一览表</w:t>
      </w:r>
      <w:r>
        <w:rPr>
          <w:sz w:val="24"/>
          <w:szCs w:val="20"/>
          <w:highlight w:val="none"/>
        </w:rPr>
      </w:r>
      <w:r/>
    </w:p>
    <w:p>
      <w:pPr>
        <w:pStyle w:val="982"/>
        <w:rPr>
          <w:sz w:val="24"/>
          <w:szCs w:val="20"/>
          <w:highlight w:val="none"/>
        </w:rPr>
      </w:pPr>
      <w:r>
        <w:rPr>
          <w:sz w:val="24"/>
          <w:szCs w:val="20"/>
          <w:highlight w:val="none"/>
        </w:rPr>
      </w:r>
      <w:r/>
    </w:p>
    <w:p>
      <w:pPr>
        <w:pStyle w:val="982"/>
        <w:jc w:val="center"/>
        <w:rPr>
          <w:rFonts w:ascii="宋体" w:hAnsi="宋体"/>
          <w:b/>
          <w:sz w:val="32"/>
          <w:szCs w:val="32"/>
          <w:highlight w:val="none"/>
        </w:rPr>
      </w:pPr>
      <w:r>
        <w:rPr>
          <w:rFonts w:hint="eastAsia" w:ascii="宋体" w:hAnsi="宋体"/>
          <w:b/>
          <w:sz w:val="32"/>
          <w:szCs w:val="32"/>
          <w:highlight w:val="none"/>
        </w:rPr>
        <w:t xml:space="preserve">供应商业绩案例一览表</w:t>
      </w:r>
      <w:bookmarkEnd w:id="712"/>
      <w:r/>
      <w:bookmarkEnd w:id="713"/>
      <w:r>
        <w:rPr>
          <w:rFonts w:ascii="宋体" w:hAnsi="宋体"/>
          <w:b/>
          <w:sz w:val="32"/>
          <w:szCs w:val="32"/>
          <w:highlight w:val="none"/>
        </w:rPr>
      </w:r>
      <w:r/>
    </w:p>
    <w:p>
      <w:pPr>
        <w:pStyle w:val="982"/>
        <w:jc w:val="center"/>
        <w:spacing w:line="360" w:lineRule="auto"/>
        <w:rPr>
          <w:rFonts w:ascii="宋体" w:hAnsi="宋体"/>
          <w:b/>
          <w:sz w:val="28"/>
          <w:szCs w:val="30"/>
          <w:highlight w:val="none"/>
        </w:rPr>
      </w:pPr>
      <w:r>
        <w:rPr>
          <w:rFonts w:ascii="宋体" w:hAnsi="宋体"/>
          <w:b/>
          <w:sz w:val="28"/>
          <w:szCs w:val="30"/>
          <w:highlight w:val="none"/>
        </w:rPr>
      </w:r>
      <w:r/>
    </w:p>
    <w:p>
      <w:pPr>
        <w:pStyle w:val="98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8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82"/>
        <w:spacing w:line="360" w:lineRule="auto"/>
        <w:rPr>
          <w:rFonts w:ascii="宋体" w:hAnsi="宋体" w:cs="宋体"/>
          <w:sz w:val="24"/>
          <w:highlight w:val="none"/>
        </w:rPr>
      </w:pPr>
      <w:r>
        <w:rPr>
          <w:rFonts w:ascii="宋体" w:hAnsi="宋体" w:cs="宋体"/>
          <w:sz w:val="24"/>
          <w:highlight w:val="none"/>
        </w:rPr>
      </w:r>
      <w:r/>
    </w:p>
    <w:p>
      <w:pPr>
        <w:pStyle w:val="98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982"/>
        <w:spacing w:before="25" w:after="25" w:line="360" w:lineRule="auto"/>
        <w:rPr>
          <w:sz w:val="24"/>
          <w:szCs w:val="20"/>
          <w:highlight w:val="none"/>
        </w:rPr>
      </w:pPr>
      <w:r>
        <w:rPr>
          <w:sz w:val="24"/>
          <w:szCs w:val="20"/>
          <w:highlight w:val="none"/>
        </w:rPr>
        <w:t xml:space="preserve">日期：_____年______月______日</w:t>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Microsoft JhengHei Light">
    <w:panose1 w:val="020B030403050404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1054"/>
      </w:rPr>
      <w:framePr w:wrap="around" w:vAnchor="text" w:hAnchor="margin" w:xAlign="center" w:y="1"/>
    </w:pPr>
    <w:r>
      <w:fldChar w:fldCharType="begin"/>
    </w:r>
    <w:r>
      <w:rPr>
        <w:rStyle w:val="1054"/>
      </w:rPr>
      <w:instrText xml:space="preserve">PAGE  </w:instrText>
    </w:r>
    <w:r>
      <w:fldChar w:fldCharType="end"/>
    </w:r>
    <w:r>
      <w:rPr>
        <w:rStyle w:val="1054"/>
      </w:rPr>
    </w:r>
    <w:r/>
  </w:p>
  <w:p>
    <w:pPr>
      <w:pStyle w:val="103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1054"/>
      </w:rPr>
      <w:framePr w:wrap="around" w:vAnchor="text" w:hAnchor="margin" w:xAlign="right" w:y="1"/>
    </w:pPr>
    <w:r>
      <w:rPr>
        <w:rStyle w:val="1054"/>
      </w:rPr>
      <w:fldChar w:fldCharType="begin"/>
    </w:r>
    <w:r>
      <w:rPr>
        <w:rStyle w:val="1054"/>
      </w:rPr>
      <w:instrText xml:space="preserve">PAGE  </w:instrText>
    </w:r>
    <w:r>
      <w:rPr>
        <w:rStyle w:val="1054"/>
      </w:rPr>
      <w:fldChar w:fldCharType="end"/>
    </w:r>
    <w:r>
      <w:rPr>
        <w:rStyle w:val="1054"/>
      </w:rPr>
    </w:r>
    <w:r/>
  </w:p>
  <w:p>
    <w:pPr>
      <w:pStyle w:val="1030"/>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1054"/>
      </w:rPr>
      <w:framePr w:wrap="around" w:vAnchor="text" w:hAnchor="margin" w:xAlign="right" w:y="1"/>
    </w:pPr>
    <w:r>
      <w:rPr>
        <w:rStyle w:val="1054"/>
      </w:rPr>
      <w:fldChar w:fldCharType="begin"/>
    </w:r>
    <w:r>
      <w:rPr>
        <w:rStyle w:val="1054"/>
      </w:rPr>
      <w:instrText xml:space="preserve">PAGE  </w:instrText>
    </w:r>
    <w:r>
      <w:rPr>
        <w:rStyle w:val="1054"/>
      </w:rPr>
      <w:fldChar w:fldCharType="end"/>
    </w:r>
    <w:r>
      <w:rPr>
        <w:rStyle w:val="1054"/>
      </w:rPr>
    </w:r>
    <w:r/>
  </w:p>
  <w:p>
    <w:pPr>
      <w:pStyle w:val="1030"/>
      <w:ind w:right="360"/>
      <w:tabs>
        <w:tab w:val="center" w:pos="4153" w:leader="none"/>
        <w:tab w:val="right" w:pos="8306" w:leader="none"/>
      </w:tabs>
    </w:pPr>
    <w:r/>
    <w:r/>
  </w:p>
  <w:p>
    <w:pPr>
      <w:pStyle w:val="98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tabs>
        <w:tab w:val="center" w:pos="4153" w:leader="none"/>
        <w:tab w:val="right" w:pos="8306" w:leader="none"/>
      </w:tabs>
    </w:pPr>
    <w:r>
      <w:rPr>
        <w:rFonts w:hint="eastAsia" w:ascii="宋体" w:hAnsi="宋体"/>
        <w:bCs/>
        <w:color w:val="000000"/>
        <w:szCs w:val="21"/>
        <w:lang w:eastAsia="zh-CN"/>
      </w:rPr>
      <w:t xml:space="preserve">2026-2027年度武进区农村公路安保设施养护及应急保障项目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2026-2027年度武进区农村公路安保设施养护及应急保障项目</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
  </w:p>
  <w:p>
    <w:pPr>
      <w:pStyle w:val="98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82"/>
        <w:ind w:left="4941" w:hanging="1140"/>
        <w:tabs>
          <w:tab w:val="num" w:pos="4941" w:leader="none"/>
        </w:tabs>
      </w:pPr>
      <w:rPr>
        <w:rFonts w:hint="eastAsia"/>
      </w:rPr>
    </w:lvl>
    <w:lvl w:ilvl="1">
      <w:start w:val="1"/>
      <w:numFmt w:val="lowerLetter"/>
      <w:isLgl w:val="false"/>
      <w:suff w:val="tab"/>
      <w:lvlText w:val="%2)"/>
      <w:lvlJc w:val="left"/>
      <w:pPr>
        <w:pStyle w:val="982"/>
        <w:ind w:left="4641" w:hanging="420"/>
        <w:tabs>
          <w:tab w:val="num" w:pos="4641" w:leader="none"/>
        </w:tabs>
      </w:pPr>
    </w:lvl>
    <w:lvl w:ilvl="2">
      <w:start w:val="1"/>
      <w:numFmt w:val="lowerRoman"/>
      <w:isLgl w:val="false"/>
      <w:suff w:val="tab"/>
      <w:lvlText w:val="%3."/>
      <w:lvlJc w:val="right"/>
      <w:pPr>
        <w:pStyle w:val="982"/>
        <w:ind w:left="5061" w:hanging="420"/>
        <w:tabs>
          <w:tab w:val="num" w:pos="5061" w:leader="none"/>
        </w:tabs>
      </w:pPr>
    </w:lvl>
    <w:lvl w:ilvl="3">
      <w:start w:val="1"/>
      <w:numFmt w:val="decimal"/>
      <w:isLgl w:val="false"/>
      <w:suff w:val="tab"/>
      <w:lvlText w:val="%4."/>
      <w:lvlJc w:val="left"/>
      <w:pPr>
        <w:pStyle w:val="982"/>
        <w:ind w:left="5481" w:hanging="420"/>
        <w:tabs>
          <w:tab w:val="num" w:pos="5481" w:leader="none"/>
        </w:tabs>
      </w:pPr>
    </w:lvl>
    <w:lvl w:ilvl="4">
      <w:start w:val="1"/>
      <w:numFmt w:val="lowerLetter"/>
      <w:isLgl w:val="false"/>
      <w:suff w:val="tab"/>
      <w:lvlText w:val="%5)"/>
      <w:lvlJc w:val="left"/>
      <w:pPr>
        <w:pStyle w:val="982"/>
        <w:ind w:left="5901" w:hanging="420"/>
        <w:tabs>
          <w:tab w:val="num" w:pos="5901" w:leader="none"/>
        </w:tabs>
      </w:pPr>
    </w:lvl>
    <w:lvl w:ilvl="5">
      <w:start w:val="1"/>
      <w:numFmt w:val="lowerRoman"/>
      <w:isLgl w:val="false"/>
      <w:suff w:val="tab"/>
      <w:lvlText w:val="%6."/>
      <w:lvlJc w:val="right"/>
      <w:pPr>
        <w:pStyle w:val="982"/>
        <w:ind w:left="6321" w:hanging="420"/>
        <w:tabs>
          <w:tab w:val="num" w:pos="6321" w:leader="none"/>
        </w:tabs>
      </w:pPr>
    </w:lvl>
    <w:lvl w:ilvl="6">
      <w:start w:val="1"/>
      <w:numFmt w:val="decimal"/>
      <w:isLgl w:val="false"/>
      <w:suff w:val="tab"/>
      <w:lvlText w:val="%7."/>
      <w:lvlJc w:val="left"/>
      <w:pPr>
        <w:pStyle w:val="982"/>
        <w:ind w:left="6741" w:hanging="420"/>
        <w:tabs>
          <w:tab w:val="num" w:pos="6741" w:leader="none"/>
        </w:tabs>
      </w:pPr>
    </w:lvl>
    <w:lvl w:ilvl="7">
      <w:start w:val="1"/>
      <w:numFmt w:val="lowerLetter"/>
      <w:isLgl w:val="false"/>
      <w:suff w:val="tab"/>
      <w:lvlText w:val="%8)"/>
      <w:lvlJc w:val="left"/>
      <w:pPr>
        <w:pStyle w:val="982"/>
        <w:ind w:left="7161" w:hanging="420"/>
        <w:tabs>
          <w:tab w:val="num" w:pos="7161" w:leader="none"/>
        </w:tabs>
      </w:pPr>
    </w:lvl>
    <w:lvl w:ilvl="8">
      <w:start w:val="1"/>
      <w:numFmt w:val="lowerRoman"/>
      <w:isLgl w:val="false"/>
      <w:suff w:val="tab"/>
      <w:lvlText w:val="%9."/>
      <w:lvlJc w:val="right"/>
      <w:pPr>
        <w:pStyle w:val="982"/>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82"/>
        <w:ind w:left="900" w:hanging="900"/>
        <w:tabs>
          <w:tab w:val="num" w:pos="900" w:leader="none"/>
        </w:tabs>
      </w:pPr>
      <w:rPr>
        <w:rFonts w:hint="eastAsia"/>
      </w:rPr>
    </w:lvl>
    <w:lvl w:ilvl="1">
      <w:start w:val="1"/>
      <w:numFmt w:val="decimal"/>
      <w:isLgl w:val="false"/>
      <w:suff w:val="tab"/>
      <w:lvlText w:val="%1.%2"/>
      <w:lvlJc w:val="left"/>
      <w:pPr>
        <w:pStyle w:val="982"/>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82"/>
        <w:ind w:left="1980" w:hanging="900"/>
        <w:tabs>
          <w:tab w:val="num" w:pos="1980" w:leader="none"/>
        </w:tabs>
      </w:pPr>
      <w:rPr>
        <w:rFonts w:hint="eastAsia"/>
      </w:rPr>
    </w:lvl>
    <w:lvl w:ilvl="3">
      <w:start w:val="1"/>
      <w:numFmt w:val="decimal"/>
      <w:isLgl w:val="false"/>
      <w:suff w:val="tab"/>
      <w:lvlText w:val="%1.%2.%3.%4"/>
      <w:lvlJc w:val="left"/>
      <w:pPr>
        <w:pStyle w:val="982"/>
        <w:ind w:left="900" w:hanging="900"/>
        <w:tabs>
          <w:tab w:val="num" w:pos="900" w:leader="none"/>
        </w:tabs>
      </w:pPr>
      <w:rPr>
        <w:rFonts w:hint="eastAsia"/>
      </w:rPr>
    </w:lvl>
    <w:lvl w:ilvl="4">
      <w:start w:val="1"/>
      <w:numFmt w:val="decimal"/>
      <w:isLgl w:val="false"/>
      <w:suff w:val="tab"/>
      <w:lvlText w:val="%1.%2.%3.%4.%5"/>
      <w:lvlJc w:val="left"/>
      <w:pPr>
        <w:pStyle w:val="982"/>
        <w:ind w:left="900" w:hanging="900"/>
        <w:tabs>
          <w:tab w:val="num" w:pos="900" w:leader="none"/>
        </w:tabs>
      </w:pPr>
      <w:rPr>
        <w:rFonts w:hint="eastAsia"/>
      </w:rPr>
    </w:lvl>
    <w:lvl w:ilvl="5">
      <w:start w:val="1"/>
      <w:numFmt w:val="decimal"/>
      <w:isLgl w:val="false"/>
      <w:suff w:val="tab"/>
      <w:lvlText w:val="%1.%2.%3.%4.%5.%6"/>
      <w:lvlJc w:val="left"/>
      <w:pPr>
        <w:pStyle w:val="982"/>
        <w:ind w:left="900" w:hanging="900"/>
        <w:tabs>
          <w:tab w:val="num" w:pos="900" w:leader="none"/>
        </w:tabs>
      </w:pPr>
      <w:rPr>
        <w:rFonts w:hint="eastAsia"/>
      </w:rPr>
    </w:lvl>
    <w:lvl w:ilvl="6">
      <w:start w:val="1"/>
      <w:numFmt w:val="decimal"/>
      <w:isLgl w:val="false"/>
      <w:suff w:val="tab"/>
      <w:lvlText w:val="%1.%2.%3.%4.%5.%6.%7"/>
      <w:lvlJc w:val="left"/>
      <w:pPr>
        <w:pStyle w:val="982"/>
        <w:ind w:left="900" w:hanging="900"/>
        <w:tabs>
          <w:tab w:val="num" w:pos="900" w:leader="none"/>
        </w:tabs>
      </w:pPr>
      <w:rPr>
        <w:rFonts w:hint="eastAsia"/>
      </w:rPr>
    </w:lvl>
    <w:lvl w:ilvl="7">
      <w:start w:val="1"/>
      <w:numFmt w:val="decimal"/>
      <w:isLgl w:val="false"/>
      <w:suff w:val="tab"/>
      <w:lvlText w:val="%1.%2.%3.%4.%5.%6.%7.%8"/>
      <w:lvlJc w:val="left"/>
      <w:pPr>
        <w:pStyle w:val="982"/>
        <w:ind w:left="900" w:hanging="900"/>
        <w:tabs>
          <w:tab w:val="num" w:pos="900" w:leader="none"/>
        </w:tabs>
      </w:pPr>
      <w:rPr>
        <w:rFonts w:hint="eastAsia"/>
      </w:rPr>
    </w:lvl>
    <w:lvl w:ilvl="8">
      <w:start w:val="1"/>
      <w:numFmt w:val="decimal"/>
      <w:isLgl w:val="false"/>
      <w:suff w:val="tab"/>
      <w:lvlText w:val="%1.%2.%3.%4.%5.%6.%7.%8.%9"/>
      <w:lvlJc w:val="left"/>
      <w:pPr>
        <w:pStyle w:val="982"/>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82"/>
        <w:ind w:left="900" w:hanging="900"/>
        <w:tabs>
          <w:tab w:val="num" w:pos="900" w:leader="none"/>
        </w:tabs>
      </w:pPr>
      <w:rPr>
        <w:rFonts w:hint="eastAsia"/>
      </w:rPr>
    </w:lvl>
    <w:lvl w:ilvl="1">
      <w:start w:val="1"/>
      <w:numFmt w:val="decimal"/>
      <w:isLgl w:val="false"/>
      <w:suff w:val="tab"/>
      <w:lvlText w:val="%1.%2"/>
      <w:lvlJc w:val="left"/>
      <w:pPr>
        <w:pStyle w:val="982"/>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82"/>
        <w:ind w:left="1980" w:hanging="900"/>
        <w:tabs>
          <w:tab w:val="num" w:pos="1980" w:leader="none"/>
        </w:tabs>
      </w:pPr>
      <w:rPr>
        <w:rFonts w:hint="eastAsia"/>
      </w:rPr>
    </w:lvl>
    <w:lvl w:ilvl="3">
      <w:start w:val="1"/>
      <w:numFmt w:val="decimal"/>
      <w:isLgl w:val="false"/>
      <w:suff w:val="tab"/>
      <w:lvlText w:val="%1.%2.%3.%4"/>
      <w:lvlJc w:val="left"/>
      <w:pPr>
        <w:pStyle w:val="982"/>
        <w:ind w:left="900" w:hanging="900"/>
        <w:tabs>
          <w:tab w:val="num" w:pos="900" w:leader="none"/>
        </w:tabs>
      </w:pPr>
      <w:rPr>
        <w:rFonts w:hint="eastAsia"/>
      </w:rPr>
    </w:lvl>
    <w:lvl w:ilvl="4">
      <w:start w:val="1"/>
      <w:numFmt w:val="decimal"/>
      <w:isLgl w:val="false"/>
      <w:suff w:val="tab"/>
      <w:lvlText w:val="%1.%2.%3.%4.%5"/>
      <w:lvlJc w:val="left"/>
      <w:pPr>
        <w:pStyle w:val="982"/>
        <w:ind w:left="900" w:hanging="900"/>
        <w:tabs>
          <w:tab w:val="num" w:pos="900" w:leader="none"/>
        </w:tabs>
      </w:pPr>
      <w:rPr>
        <w:rFonts w:hint="eastAsia"/>
      </w:rPr>
    </w:lvl>
    <w:lvl w:ilvl="5">
      <w:start w:val="1"/>
      <w:numFmt w:val="decimal"/>
      <w:isLgl w:val="false"/>
      <w:suff w:val="tab"/>
      <w:lvlText w:val="%1.%2.%3.%4.%5.%6"/>
      <w:lvlJc w:val="left"/>
      <w:pPr>
        <w:pStyle w:val="982"/>
        <w:ind w:left="900" w:hanging="900"/>
        <w:tabs>
          <w:tab w:val="num" w:pos="900" w:leader="none"/>
        </w:tabs>
      </w:pPr>
      <w:rPr>
        <w:rFonts w:hint="eastAsia"/>
      </w:rPr>
    </w:lvl>
    <w:lvl w:ilvl="6">
      <w:start w:val="1"/>
      <w:numFmt w:val="decimal"/>
      <w:isLgl w:val="false"/>
      <w:suff w:val="tab"/>
      <w:lvlText w:val="%1.%2.%3.%4.%5.%6.%7"/>
      <w:lvlJc w:val="left"/>
      <w:pPr>
        <w:pStyle w:val="982"/>
        <w:ind w:left="900" w:hanging="900"/>
        <w:tabs>
          <w:tab w:val="num" w:pos="900" w:leader="none"/>
        </w:tabs>
      </w:pPr>
      <w:rPr>
        <w:rFonts w:hint="eastAsia"/>
      </w:rPr>
    </w:lvl>
    <w:lvl w:ilvl="7">
      <w:start w:val="1"/>
      <w:numFmt w:val="decimal"/>
      <w:isLgl w:val="false"/>
      <w:suff w:val="tab"/>
      <w:lvlText w:val="%1.%2.%3.%4.%5.%6.%7.%8"/>
      <w:lvlJc w:val="left"/>
      <w:pPr>
        <w:pStyle w:val="982"/>
        <w:ind w:left="900" w:hanging="900"/>
        <w:tabs>
          <w:tab w:val="num" w:pos="900" w:leader="none"/>
        </w:tabs>
      </w:pPr>
      <w:rPr>
        <w:rFonts w:hint="eastAsia"/>
      </w:rPr>
    </w:lvl>
    <w:lvl w:ilvl="8">
      <w:start w:val="1"/>
      <w:numFmt w:val="decimal"/>
      <w:isLgl w:val="false"/>
      <w:suff w:val="tab"/>
      <w:lvlText w:val="%1.%2.%3.%4.%5.%6.%7.%8.%9"/>
      <w:lvlJc w:val="left"/>
      <w:pPr>
        <w:pStyle w:val="982"/>
        <w:ind w:left="900" w:hanging="900"/>
        <w:tabs>
          <w:tab w:val="num" w:pos="900" w:leader="none"/>
        </w:tabs>
      </w:pPr>
      <w:rPr>
        <w:rFonts w:hint="eastAsia"/>
      </w:rPr>
    </w:lvl>
  </w:abstractNum>
  <w:abstractNum w:abstractNumId="3">
    <w:multiLevelType w:val="hybridMultilevel"/>
    <w:lvl w:ilvl="0">
      <w:start w:val="3"/>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2"/>
    <w:next w:val="982"/>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2"/>
    <w:next w:val="982"/>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2"/>
    <w:next w:val="982"/>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2"/>
    <w:next w:val="982"/>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2"/>
    <w:next w:val="982"/>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2"/>
    <w:next w:val="982"/>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2"/>
    <w:next w:val="982"/>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2"/>
    <w:next w:val="982"/>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2"/>
    <w:next w:val="982"/>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82"/>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widowControl w:val="off"/>
    </w:pPr>
    <w:rPr>
      <w:sz w:val="21"/>
      <w:szCs w:val="24"/>
      <w:lang w:val="en-US" w:eastAsia="zh-CN" w:bidi="ar-SA"/>
    </w:rPr>
  </w:style>
  <w:style w:type="paragraph" w:styleId="983">
    <w:name w:val="标题 1"/>
    <w:basedOn w:val="982"/>
    <w:next w:val="982"/>
    <w:link w:val="994"/>
    <w:qFormat/>
    <w:pPr>
      <w:jc w:val="center"/>
      <w:keepLines/>
      <w:keepNext/>
      <w:spacing w:before="240" w:after="120" w:line="300" w:lineRule="auto"/>
      <w:outlineLvl w:val="0"/>
    </w:pPr>
    <w:rPr>
      <w:rFonts w:ascii="宋体"/>
      <w:b/>
      <w:sz w:val="32"/>
      <w:szCs w:val="20"/>
    </w:rPr>
  </w:style>
  <w:style w:type="paragraph" w:styleId="984">
    <w:name w:val="标题 2"/>
    <w:basedOn w:val="982"/>
    <w:next w:val="996"/>
    <w:link w:val="995"/>
    <w:qFormat/>
    <w:pPr>
      <w:jc w:val="center"/>
      <w:keepLines/>
      <w:keepNext/>
      <w:spacing w:before="120" w:line="300" w:lineRule="auto"/>
      <w:outlineLvl w:val="1"/>
    </w:pPr>
    <w:rPr>
      <w:rFonts w:ascii="Arial" w:hAnsi="Arial" w:eastAsia="黑体"/>
      <w:b/>
      <w:sz w:val="30"/>
      <w:szCs w:val="20"/>
    </w:rPr>
  </w:style>
  <w:style w:type="paragraph" w:styleId="985">
    <w:name w:val="标题 3"/>
    <w:basedOn w:val="982"/>
    <w:next w:val="996"/>
    <w:link w:val="998"/>
    <w:qFormat/>
    <w:pPr>
      <w:jc w:val="left"/>
      <w:keepLines/>
      <w:keepNext/>
      <w:spacing w:before="360" w:after="120"/>
      <w:outlineLvl w:val="2"/>
    </w:pPr>
    <w:rPr>
      <w:rFonts w:ascii="宋体"/>
      <w:b/>
      <w:sz w:val="24"/>
      <w:szCs w:val="20"/>
      <w:u w:val="single"/>
    </w:rPr>
  </w:style>
  <w:style w:type="paragraph" w:styleId="986">
    <w:name w:val="标题 4"/>
    <w:basedOn w:val="982"/>
    <w:next w:val="982"/>
    <w:link w:val="999"/>
    <w:qFormat/>
    <w:pPr>
      <w:keepLines/>
      <w:keepNext/>
      <w:spacing w:before="280" w:after="290" w:line="376" w:lineRule="atLeast"/>
      <w:outlineLvl w:val="3"/>
    </w:pPr>
    <w:rPr>
      <w:rFonts w:ascii="Arial" w:hAnsi="Arial" w:eastAsia="黑体"/>
      <w:b/>
      <w:sz w:val="28"/>
      <w:szCs w:val="20"/>
    </w:rPr>
  </w:style>
  <w:style w:type="paragraph" w:styleId="987">
    <w:name w:val="标题 5"/>
    <w:basedOn w:val="982"/>
    <w:next w:val="982"/>
    <w:link w:val="1000"/>
    <w:qFormat/>
    <w:pPr>
      <w:keepLines/>
      <w:keepNext/>
      <w:spacing w:before="280" w:after="290" w:line="376" w:lineRule="atLeast"/>
      <w:outlineLvl w:val="4"/>
    </w:pPr>
    <w:rPr>
      <w:b/>
      <w:sz w:val="28"/>
      <w:szCs w:val="20"/>
    </w:rPr>
  </w:style>
  <w:style w:type="paragraph" w:styleId="988">
    <w:name w:val="标题 6"/>
    <w:basedOn w:val="982"/>
    <w:next w:val="982"/>
    <w:link w:val="1001"/>
    <w:qFormat/>
    <w:pPr>
      <w:keepLines/>
      <w:keepNext/>
      <w:spacing w:before="240" w:after="64" w:line="320" w:lineRule="atLeast"/>
      <w:outlineLvl w:val="5"/>
    </w:pPr>
    <w:rPr>
      <w:rFonts w:ascii="Arial" w:hAnsi="Arial" w:eastAsia="黑体"/>
      <w:b/>
      <w:sz w:val="24"/>
      <w:szCs w:val="20"/>
    </w:rPr>
  </w:style>
  <w:style w:type="paragraph" w:styleId="989">
    <w:name w:val="标题 7"/>
    <w:basedOn w:val="982"/>
    <w:next w:val="982"/>
    <w:link w:val="1002"/>
    <w:qFormat/>
    <w:pPr>
      <w:keepLines/>
      <w:keepNext/>
      <w:spacing w:before="240" w:after="64" w:line="320" w:lineRule="atLeast"/>
      <w:outlineLvl w:val="6"/>
    </w:pPr>
    <w:rPr>
      <w:b/>
      <w:sz w:val="24"/>
      <w:szCs w:val="20"/>
    </w:rPr>
  </w:style>
  <w:style w:type="paragraph" w:styleId="990">
    <w:name w:val="标题 8"/>
    <w:basedOn w:val="982"/>
    <w:next w:val="982"/>
    <w:link w:val="1003"/>
    <w:qFormat/>
    <w:pPr>
      <w:keepLines/>
      <w:keepNext/>
      <w:spacing w:before="240" w:after="64" w:line="320" w:lineRule="atLeast"/>
      <w:outlineLvl w:val="7"/>
    </w:pPr>
    <w:rPr>
      <w:rFonts w:ascii="Arial" w:hAnsi="Arial" w:eastAsia="黑体"/>
      <w:sz w:val="24"/>
      <w:szCs w:val="20"/>
    </w:rPr>
  </w:style>
  <w:style w:type="paragraph" w:styleId="991">
    <w:name w:val="标题 9"/>
    <w:basedOn w:val="982"/>
    <w:next w:val="982"/>
    <w:link w:val="1004"/>
    <w:qFormat/>
    <w:pPr>
      <w:keepLines/>
      <w:keepNext/>
      <w:spacing w:before="240" w:after="64" w:line="320" w:lineRule="atLeast"/>
      <w:outlineLvl w:val="8"/>
    </w:pPr>
    <w:rPr>
      <w:rFonts w:ascii="Arial" w:hAnsi="Arial" w:eastAsia="黑体"/>
      <w:szCs w:val="20"/>
    </w:rPr>
  </w:style>
  <w:style w:type="character" w:styleId="992">
    <w:name w:val="默认段落字体"/>
    <w:next w:val="992"/>
    <w:link w:val="982"/>
    <w:uiPriority w:val="1"/>
    <w:unhideWhenUsed/>
    <w:qFormat/>
  </w:style>
  <w:style w:type="table" w:styleId="993">
    <w:name w:val="普通表格"/>
    <w:next w:val="993"/>
    <w:link w:val="982"/>
    <w:uiPriority w:val="99"/>
    <w:unhideWhenUsed/>
    <w:qFormat/>
    <w:tblPr/>
  </w:style>
  <w:style w:type="character" w:styleId="994">
    <w:name w:val="标题 1 Char"/>
    <w:next w:val="994"/>
    <w:link w:val="983"/>
    <w:qFormat/>
    <w:rPr>
      <w:rFonts w:ascii="宋体"/>
      <w:b/>
      <w:sz w:val="32"/>
    </w:rPr>
  </w:style>
  <w:style w:type="character" w:styleId="995">
    <w:name w:val="标题 2 Char1"/>
    <w:next w:val="995"/>
    <w:link w:val="984"/>
    <w:qFormat/>
    <w:rPr>
      <w:rFonts w:ascii="Arial" w:hAnsi="Arial" w:eastAsia="黑体"/>
      <w:b/>
      <w:sz w:val="30"/>
      <w:lang w:val="en-US" w:eastAsia="zh-CN" w:bidi="ar-SA"/>
    </w:rPr>
  </w:style>
  <w:style w:type="paragraph" w:styleId="996">
    <w:name w:val="正文缩进"/>
    <w:basedOn w:val="982"/>
    <w:next w:val="996"/>
    <w:link w:val="997"/>
    <w:qFormat/>
    <w:pPr>
      <w:ind w:firstLine="420"/>
      <w:jc w:val="left"/>
    </w:pPr>
    <w:rPr>
      <w:rFonts w:ascii="宋体"/>
      <w:sz w:val="24"/>
    </w:rPr>
  </w:style>
  <w:style w:type="character" w:styleId="997">
    <w:name w:val="正文缩进 Char1"/>
    <w:next w:val="997"/>
    <w:link w:val="996"/>
    <w:qFormat/>
    <w:rPr>
      <w:rFonts w:ascii="宋体" w:eastAsia="宋体"/>
      <w:sz w:val="24"/>
      <w:szCs w:val="24"/>
      <w:lang w:val="en-US" w:eastAsia="zh-CN" w:bidi="ar-SA"/>
    </w:rPr>
  </w:style>
  <w:style w:type="character" w:styleId="998">
    <w:name w:val="标题 3 Char1"/>
    <w:next w:val="998"/>
    <w:link w:val="985"/>
    <w:qFormat/>
    <w:rPr>
      <w:rFonts w:ascii="宋体" w:eastAsia="宋体"/>
      <w:b/>
      <w:sz w:val="24"/>
      <w:u w:val="single"/>
      <w:lang w:val="en-US" w:eastAsia="zh-CN" w:bidi="ar-SA"/>
    </w:rPr>
  </w:style>
  <w:style w:type="character" w:styleId="999">
    <w:name w:val="标题 4 Char"/>
    <w:next w:val="999"/>
    <w:link w:val="986"/>
    <w:qFormat/>
    <w:rPr>
      <w:rFonts w:ascii="Arial" w:hAnsi="Arial" w:eastAsia="黑体"/>
      <w:b/>
      <w:sz w:val="28"/>
    </w:rPr>
  </w:style>
  <w:style w:type="character" w:styleId="1000">
    <w:name w:val="标题 5 Char"/>
    <w:next w:val="1000"/>
    <w:link w:val="987"/>
    <w:qFormat/>
    <w:rPr>
      <w:b/>
      <w:sz w:val="28"/>
    </w:rPr>
  </w:style>
  <w:style w:type="character" w:styleId="1001">
    <w:name w:val="标题 6 Char"/>
    <w:next w:val="1001"/>
    <w:link w:val="988"/>
    <w:qFormat/>
    <w:rPr>
      <w:rFonts w:ascii="Arial" w:hAnsi="Arial" w:eastAsia="黑体"/>
      <w:b/>
      <w:sz w:val="24"/>
    </w:rPr>
  </w:style>
  <w:style w:type="character" w:styleId="1002">
    <w:name w:val="标题 7 Char"/>
    <w:next w:val="1002"/>
    <w:link w:val="989"/>
    <w:qFormat/>
    <w:rPr>
      <w:b/>
      <w:sz w:val="24"/>
    </w:rPr>
  </w:style>
  <w:style w:type="character" w:styleId="1003">
    <w:name w:val="标题 8 Char"/>
    <w:next w:val="1003"/>
    <w:link w:val="990"/>
    <w:qFormat/>
    <w:rPr>
      <w:rFonts w:ascii="Arial" w:hAnsi="Arial" w:eastAsia="黑体"/>
      <w:sz w:val="24"/>
    </w:rPr>
  </w:style>
  <w:style w:type="character" w:styleId="1004">
    <w:name w:val="标题 9 Char"/>
    <w:next w:val="1004"/>
    <w:link w:val="991"/>
    <w:qFormat/>
    <w:rPr>
      <w:rFonts w:ascii="Arial" w:hAnsi="Arial" w:eastAsia="黑体"/>
      <w:sz w:val="21"/>
    </w:rPr>
  </w:style>
  <w:style w:type="paragraph" w:styleId="1005">
    <w:name w:val="目录 7"/>
    <w:basedOn w:val="982"/>
    <w:next w:val="982"/>
    <w:link w:val="982"/>
    <w:qFormat/>
    <w:pPr>
      <w:ind w:left="2520"/>
    </w:pPr>
  </w:style>
  <w:style w:type="paragraph" w:styleId="1006">
    <w:name w:val="题注"/>
    <w:basedOn w:val="982"/>
    <w:next w:val="982"/>
    <w:link w:val="982"/>
    <w:qFormat/>
    <w:pPr>
      <w:spacing w:line="480" w:lineRule="auto"/>
    </w:pPr>
    <w:rPr>
      <w:rFonts w:ascii="华文中宋" w:hAnsi="华文中宋" w:eastAsia="华文中宋"/>
      <w:sz w:val="36"/>
      <w:szCs w:val="20"/>
    </w:rPr>
  </w:style>
  <w:style w:type="paragraph" w:styleId="1007">
    <w:name w:val="文档结构图"/>
    <w:basedOn w:val="982"/>
    <w:next w:val="1007"/>
    <w:link w:val="1008"/>
    <w:qFormat/>
    <w:pPr>
      <w:shd w:val="clear" w:color="auto" w:fill="000080"/>
    </w:pPr>
  </w:style>
  <w:style w:type="character" w:styleId="1008">
    <w:name w:val="文档结构图 Char"/>
    <w:next w:val="1008"/>
    <w:link w:val="1007"/>
    <w:qFormat/>
    <w:rPr>
      <w:sz w:val="21"/>
      <w:szCs w:val="24"/>
      <w:shd w:val="clear" w:color="auto" w:fill="000080"/>
    </w:rPr>
  </w:style>
  <w:style w:type="paragraph" w:styleId="1009">
    <w:name w:val="批注文字"/>
    <w:basedOn w:val="982"/>
    <w:next w:val="1009"/>
    <w:link w:val="1010"/>
    <w:uiPriority w:val="99"/>
    <w:qFormat/>
    <w:pPr>
      <w:jc w:val="left"/>
    </w:pPr>
  </w:style>
  <w:style w:type="character" w:styleId="1010">
    <w:name w:val="批注文字 Char1"/>
    <w:next w:val="1010"/>
    <w:link w:val="1009"/>
    <w:uiPriority w:val="99"/>
    <w:qFormat/>
    <w:rPr>
      <w:sz w:val="21"/>
      <w:szCs w:val="24"/>
    </w:rPr>
  </w:style>
  <w:style w:type="paragraph" w:styleId="1011">
    <w:name w:val="正文文本 3"/>
    <w:basedOn w:val="982"/>
    <w:next w:val="1011"/>
    <w:link w:val="1012"/>
    <w:qFormat/>
    <w:pPr>
      <w:spacing w:after="120"/>
    </w:pPr>
    <w:rPr>
      <w:sz w:val="16"/>
      <w:szCs w:val="16"/>
    </w:rPr>
  </w:style>
  <w:style w:type="character" w:styleId="1012">
    <w:name w:val="正文文本 3 Char"/>
    <w:next w:val="1012"/>
    <w:link w:val="1011"/>
    <w:qFormat/>
    <w:rPr>
      <w:sz w:val="16"/>
      <w:szCs w:val="16"/>
    </w:rPr>
  </w:style>
  <w:style w:type="paragraph" w:styleId="1013">
    <w:name w:val="正文文本"/>
    <w:basedOn w:val="982"/>
    <w:next w:val="1013"/>
    <w:link w:val="1014"/>
    <w:qFormat/>
    <w:pPr>
      <w:spacing w:before="120" w:line="22" w:lineRule="atLeast"/>
      <w:tabs>
        <w:tab w:val="left" w:pos="567" w:leader="none"/>
      </w:tabs>
    </w:pPr>
    <w:rPr>
      <w:rFonts w:ascii="宋体" w:hAnsi="宋体"/>
      <w:sz w:val="24"/>
    </w:rPr>
  </w:style>
  <w:style w:type="character" w:styleId="1014">
    <w:name w:val="正文文本 Char"/>
    <w:next w:val="1014"/>
    <w:link w:val="1013"/>
    <w:qFormat/>
    <w:rPr>
      <w:rFonts w:ascii="宋体" w:hAnsi="宋体"/>
      <w:sz w:val="24"/>
      <w:szCs w:val="24"/>
    </w:rPr>
  </w:style>
  <w:style w:type="paragraph" w:styleId="1015">
    <w:name w:val="正文文本缩进"/>
    <w:basedOn w:val="982"/>
    <w:next w:val="1015"/>
    <w:link w:val="1016"/>
    <w:qFormat/>
    <w:pPr>
      <w:ind w:firstLine="570"/>
      <w:spacing w:line="360" w:lineRule="auto"/>
    </w:pPr>
    <w:rPr>
      <w:sz w:val="24"/>
    </w:rPr>
  </w:style>
  <w:style w:type="character" w:styleId="1016">
    <w:name w:val="正文文本缩进 Char2"/>
    <w:next w:val="1016"/>
    <w:link w:val="1015"/>
    <w:qFormat/>
    <w:rPr>
      <w:rFonts w:eastAsia="宋体"/>
      <w:sz w:val="24"/>
      <w:szCs w:val="24"/>
      <w:lang w:val="en-US" w:eastAsia="zh-CN" w:bidi="ar-SA"/>
    </w:rPr>
  </w:style>
  <w:style w:type="paragraph" w:styleId="1017">
    <w:name w:val="列表 2"/>
    <w:basedOn w:val="982"/>
    <w:next w:val="1017"/>
    <w:link w:val="982"/>
    <w:qFormat/>
    <w:pPr>
      <w:ind w:left="100" w:hanging="200"/>
    </w:pPr>
  </w:style>
  <w:style w:type="paragraph" w:styleId="1018">
    <w:name w:val="文本块"/>
    <w:basedOn w:val="982"/>
    <w:next w:val="1018"/>
    <w:link w:val="982"/>
    <w:qFormat/>
    <w:pPr>
      <w:ind w:left="480" w:right="-341" w:firstLine="513"/>
      <w:widowControl/>
    </w:pPr>
    <w:rPr>
      <w:sz w:val="24"/>
      <w:szCs w:val="20"/>
    </w:rPr>
  </w:style>
  <w:style w:type="paragraph" w:styleId="1019">
    <w:name w:val="目录 5"/>
    <w:basedOn w:val="982"/>
    <w:next w:val="982"/>
    <w:link w:val="982"/>
    <w:qFormat/>
    <w:pPr>
      <w:ind w:left="1680"/>
    </w:pPr>
  </w:style>
  <w:style w:type="paragraph" w:styleId="1020">
    <w:name w:val="目录 3"/>
    <w:basedOn w:val="982"/>
    <w:next w:val="982"/>
    <w:link w:val="982"/>
    <w:uiPriority w:val="39"/>
    <w:qFormat/>
    <w:pPr>
      <w:ind w:left="840"/>
    </w:pPr>
  </w:style>
  <w:style w:type="paragraph" w:styleId="1021">
    <w:name w:val="纯文本"/>
    <w:basedOn w:val="982"/>
    <w:next w:val="1021"/>
    <w:link w:val="1022"/>
    <w:qFormat/>
    <w:rPr>
      <w:rFonts w:hint="eastAsia" w:ascii="宋体" w:hAnsi="Courier New"/>
      <w:szCs w:val="20"/>
    </w:rPr>
  </w:style>
  <w:style w:type="character" w:styleId="1022">
    <w:name w:val="纯文本 Char"/>
    <w:next w:val="1022"/>
    <w:link w:val="1021"/>
    <w:qFormat/>
    <w:rPr>
      <w:rFonts w:hint="eastAsia" w:ascii="宋体" w:hAnsi="Courier New" w:eastAsia="宋体" w:cs="宋体"/>
      <w:sz w:val="21"/>
    </w:rPr>
  </w:style>
  <w:style w:type="paragraph" w:styleId="1023">
    <w:name w:val="目录 8"/>
    <w:basedOn w:val="982"/>
    <w:next w:val="982"/>
    <w:link w:val="982"/>
    <w:qFormat/>
    <w:pPr>
      <w:ind w:left="2940"/>
    </w:pPr>
  </w:style>
  <w:style w:type="paragraph" w:styleId="1024">
    <w:name w:val="日期"/>
    <w:basedOn w:val="982"/>
    <w:next w:val="982"/>
    <w:link w:val="1025"/>
    <w:qFormat/>
    <w:pPr>
      <w:ind w:left="100"/>
    </w:pPr>
    <w:rPr>
      <w:rFonts w:ascii="仿宋_GB2312" w:hAnsi="宋体" w:eastAsia="仿宋_GB2312"/>
      <w:color w:val="000000"/>
      <w:sz w:val="24"/>
    </w:rPr>
  </w:style>
  <w:style w:type="character" w:styleId="1025">
    <w:name w:val="日期 Char"/>
    <w:next w:val="1025"/>
    <w:link w:val="1024"/>
    <w:qFormat/>
    <w:rPr>
      <w:rFonts w:ascii="仿宋_GB2312" w:hAnsi="宋体" w:eastAsia="仿宋_GB2312"/>
      <w:color w:val="000000"/>
      <w:sz w:val="24"/>
      <w:szCs w:val="24"/>
    </w:rPr>
  </w:style>
  <w:style w:type="paragraph" w:styleId="1026">
    <w:name w:val="正文文本缩进 2"/>
    <w:basedOn w:val="982"/>
    <w:next w:val="1026"/>
    <w:link w:val="1027"/>
    <w:qFormat/>
    <w:pPr>
      <w:ind w:firstLine="480"/>
    </w:pPr>
    <w:rPr>
      <w:rFonts w:ascii="仿宋_GB2312" w:eastAsia="仿宋_GB2312"/>
      <w:sz w:val="24"/>
    </w:rPr>
  </w:style>
  <w:style w:type="character" w:styleId="1027">
    <w:name w:val="正文文本缩进 2 Char"/>
    <w:next w:val="1027"/>
    <w:link w:val="1026"/>
    <w:qFormat/>
    <w:rPr>
      <w:rFonts w:ascii="仿宋_GB2312" w:eastAsia="仿宋_GB2312"/>
      <w:sz w:val="24"/>
      <w:szCs w:val="24"/>
    </w:rPr>
  </w:style>
  <w:style w:type="paragraph" w:styleId="1028">
    <w:name w:val="批注框文本"/>
    <w:basedOn w:val="982"/>
    <w:next w:val="1028"/>
    <w:link w:val="1029"/>
    <w:qFormat/>
    <w:rPr>
      <w:sz w:val="18"/>
      <w:szCs w:val="18"/>
    </w:rPr>
  </w:style>
  <w:style w:type="character" w:styleId="1029">
    <w:name w:val="批注框文本 Char"/>
    <w:next w:val="1029"/>
    <w:link w:val="1028"/>
    <w:qFormat/>
    <w:rPr>
      <w:sz w:val="18"/>
      <w:szCs w:val="18"/>
    </w:rPr>
  </w:style>
  <w:style w:type="paragraph" w:styleId="1030">
    <w:name w:val="页脚"/>
    <w:basedOn w:val="982"/>
    <w:next w:val="1030"/>
    <w:link w:val="1031"/>
    <w:uiPriority w:val="99"/>
    <w:qFormat/>
    <w:pPr>
      <w:jc w:val="left"/>
      <w:tabs>
        <w:tab w:val="center" w:pos="4153" w:leader="none"/>
        <w:tab w:val="right" w:pos="8306" w:leader="none"/>
      </w:tabs>
    </w:pPr>
    <w:rPr>
      <w:rFonts w:ascii="宋体"/>
      <w:sz w:val="18"/>
      <w:szCs w:val="20"/>
    </w:rPr>
  </w:style>
  <w:style w:type="character" w:styleId="1031">
    <w:name w:val="页脚 Char1"/>
    <w:next w:val="1031"/>
    <w:link w:val="1030"/>
    <w:uiPriority w:val="99"/>
    <w:qFormat/>
    <w:rPr>
      <w:rFonts w:ascii="宋体" w:eastAsia="宋体"/>
      <w:sz w:val="18"/>
      <w:lang w:val="en-US" w:eastAsia="zh-CN" w:bidi="ar-SA"/>
    </w:rPr>
  </w:style>
  <w:style w:type="paragraph" w:styleId="1032">
    <w:name w:val="页眉"/>
    <w:basedOn w:val="982"/>
    <w:next w:val="1032"/>
    <w:link w:val="1033"/>
    <w:qFormat/>
    <w:pPr>
      <w:jc w:val="center"/>
      <w:tabs>
        <w:tab w:val="center" w:pos="4153" w:leader="none"/>
        <w:tab w:val="right" w:pos="8306" w:leader="none"/>
      </w:tabs>
      <w:pBdr>
        <w:bottom w:val="single" w:color="000000" w:sz="6" w:space="1"/>
      </w:pBdr>
    </w:pPr>
    <w:rPr>
      <w:sz w:val="18"/>
      <w:szCs w:val="18"/>
    </w:rPr>
  </w:style>
  <w:style w:type="character" w:styleId="1033">
    <w:name w:val="页眉 Char1"/>
    <w:next w:val="1033"/>
    <w:link w:val="1032"/>
    <w:qFormat/>
    <w:rPr>
      <w:rFonts w:eastAsia="宋体"/>
      <w:sz w:val="18"/>
      <w:szCs w:val="18"/>
      <w:lang w:val="en-US" w:eastAsia="zh-CN" w:bidi="ar-SA"/>
    </w:rPr>
  </w:style>
  <w:style w:type="paragraph" w:styleId="1034">
    <w:name w:val="目录 1"/>
    <w:basedOn w:val="982"/>
    <w:next w:val="982"/>
    <w:link w:val="982"/>
    <w:uiPriority w:val="39"/>
    <w:qFormat/>
    <w:pPr>
      <w:spacing w:line="300" w:lineRule="auto"/>
      <w:tabs>
        <w:tab w:val="left" w:pos="1050" w:leader="none"/>
        <w:tab w:val="right" w:pos="8937" w:leader="dot"/>
      </w:tabs>
    </w:pPr>
    <w:rPr>
      <w:rFonts w:ascii="宋体" w:hAnsi="宋体"/>
      <w:b/>
      <w:sz w:val="24"/>
    </w:rPr>
  </w:style>
  <w:style w:type="paragraph" w:styleId="1035">
    <w:name w:val="目录 4"/>
    <w:basedOn w:val="982"/>
    <w:next w:val="982"/>
    <w:link w:val="982"/>
    <w:qFormat/>
    <w:pPr>
      <w:ind w:left="1260"/>
    </w:pPr>
  </w:style>
  <w:style w:type="paragraph" w:styleId="1036">
    <w:name w:val="目录 6"/>
    <w:basedOn w:val="982"/>
    <w:next w:val="982"/>
    <w:link w:val="982"/>
    <w:qFormat/>
    <w:pPr>
      <w:ind w:left="2100"/>
    </w:pPr>
  </w:style>
  <w:style w:type="paragraph" w:styleId="1037">
    <w:name w:val="正文文本缩进 3"/>
    <w:basedOn w:val="982"/>
    <w:next w:val="1037"/>
    <w:link w:val="1038"/>
    <w:qFormat/>
    <w:pPr>
      <w:ind w:left="720" w:firstLine="480"/>
      <w:jc w:val="left"/>
      <w:spacing w:before="120" w:line="22" w:lineRule="atLeast"/>
    </w:pPr>
    <w:rPr>
      <w:rFonts w:ascii="宋体"/>
      <w:sz w:val="24"/>
      <w:szCs w:val="20"/>
    </w:rPr>
  </w:style>
  <w:style w:type="character" w:styleId="1038">
    <w:name w:val="正文文本缩进 3 Char"/>
    <w:next w:val="1038"/>
    <w:link w:val="1037"/>
    <w:qFormat/>
    <w:rPr>
      <w:rFonts w:ascii="宋体"/>
      <w:sz w:val="24"/>
    </w:rPr>
  </w:style>
  <w:style w:type="paragraph" w:styleId="1039">
    <w:name w:val="目录 2"/>
    <w:basedOn w:val="982"/>
    <w:next w:val="982"/>
    <w:link w:val="982"/>
    <w:uiPriority w:val="39"/>
    <w:qFormat/>
    <w:pPr>
      <w:ind w:left="420"/>
      <w:spacing w:line="312" w:lineRule="auto"/>
      <w:tabs>
        <w:tab w:val="right" w:pos="8937" w:leader="dot"/>
      </w:tabs>
    </w:pPr>
  </w:style>
  <w:style w:type="paragraph" w:styleId="1040">
    <w:name w:val="目录 9"/>
    <w:basedOn w:val="982"/>
    <w:next w:val="982"/>
    <w:link w:val="982"/>
    <w:qFormat/>
    <w:pPr>
      <w:ind w:left="3360"/>
    </w:pPr>
  </w:style>
  <w:style w:type="paragraph" w:styleId="1041">
    <w:name w:val="HTML 预设格式"/>
    <w:basedOn w:val="982"/>
    <w:next w:val="1041"/>
    <w:link w:val="10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2">
    <w:name w:val="HTML 预设格式 Char"/>
    <w:next w:val="1042"/>
    <w:link w:val="1041"/>
    <w:qFormat/>
    <w:rPr>
      <w:rFonts w:ascii="宋体" w:hAnsi="宋体" w:cs="宋体"/>
      <w:sz w:val="24"/>
      <w:szCs w:val="24"/>
    </w:rPr>
  </w:style>
  <w:style w:type="paragraph" w:styleId="1043">
    <w:name w:val="普通(网站)"/>
    <w:basedOn w:val="982"/>
    <w:next w:val="1043"/>
    <w:link w:val="982"/>
    <w:uiPriority w:val="99"/>
    <w:unhideWhenUsed/>
    <w:qFormat/>
    <w:pPr>
      <w:jc w:val="left"/>
      <w:spacing w:before="100" w:beforeAutospacing="1" w:after="100" w:afterAutospacing="1"/>
      <w:widowControl/>
    </w:pPr>
    <w:rPr>
      <w:rFonts w:ascii="宋体" w:hAnsi="宋体" w:cs="宋体"/>
      <w:sz w:val="24"/>
    </w:rPr>
  </w:style>
  <w:style w:type="paragraph" w:styleId="1044">
    <w:name w:val="索引 1"/>
    <w:basedOn w:val="982"/>
    <w:next w:val="982"/>
    <w:link w:val="982"/>
    <w:qFormat/>
    <w:rPr>
      <w:szCs w:val="20"/>
    </w:rPr>
  </w:style>
  <w:style w:type="paragraph" w:styleId="1045">
    <w:name w:val="标题"/>
    <w:basedOn w:val="982"/>
    <w:next w:val="1045"/>
    <w:link w:val="1046"/>
    <w:qFormat/>
    <w:pPr>
      <w:jc w:val="center"/>
      <w:outlineLvl w:val="0"/>
    </w:pPr>
    <w:rPr>
      <w:b/>
      <w:sz w:val="32"/>
      <w:szCs w:val="20"/>
    </w:rPr>
  </w:style>
  <w:style w:type="character" w:styleId="1046">
    <w:name w:val="标题 Char1"/>
    <w:next w:val="1046"/>
    <w:link w:val="1045"/>
    <w:qFormat/>
    <w:rPr>
      <w:b/>
      <w:sz w:val="32"/>
    </w:rPr>
  </w:style>
  <w:style w:type="paragraph" w:styleId="1047">
    <w:name w:val="批注主题"/>
    <w:basedOn w:val="1009"/>
    <w:next w:val="1009"/>
    <w:link w:val="1048"/>
    <w:qFormat/>
    <w:rPr>
      <w:b/>
      <w:bCs/>
    </w:rPr>
  </w:style>
  <w:style w:type="character" w:styleId="1048">
    <w:name w:val="批注主题 Char"/>
    <w:next w:val="1048"/>
    <w:link w:val="1047"/>
    <w:qFormat/>
    <w:rPr>
      <w:rFonts w:ascii="Times New Roman" w:hAnsi="Times New Roman" w:eastAsia="宋体" w:cs="Times New Roman"/>
      <w:b/>
      <w:bCs/>
      <w:sz w:val="21"/>
      <w:szCs w:val="24"/>
      <w:lang w:val="en-US" w:eastAsia="zh-CN" w:bidi="ar-SA"/>
    </w:rPr>
  </w:style>
  <w:style w:type="paragraph" w:styleId="1049">
    <w:name w:val="正文首行缩进 2"/>
    <w:basedOn w:val="1015"/>
    <w:next w:val="1049"/>
    <w:link w:val="1050"/>
    <w:qFormat/>
    <w:pPr>
      <w:ind w:left="420" w:firstLine="420"/>
      <w:spacing w:after="120" w:line="480" w:lineRule="exact"/>
    </w:pPr>
    <w:rPr>
      <w:szCs w:val="20"/>
    </w:rPr>
  </w:style>
  <w:style w:type="character" w:styleId="1050">
    <w:name w:val="正文首行缩进 2 Char"/>
    <w:next w:val="1050"/>
    <w:link w:val="1049"/>
    <w:qFormat/>
    <w:rPr>
      <w:rFonts w:eastAsia="宋体"/>
      <w:sz w:val="24"/>
      <w:szCs w:val="24"/>
      <w:lang w:val="en-US" w:eastAsia="zh-CN" w:bidi="ar-SA"/>
    </w:rPr>
  </w:style>
  <w:style w:type="table" w:styleId="1051">
    <w:name w:val="网格型"/>
    <w:basedOn w:val="993"/>
    <w:next w:val="1051"/>
    <w:link w:val="982"/>
    <w:uiPriority w:val="39"/>
    <w:qFormat/>
    <w:tblPr/>
  </w:style>
  <w:style w:type="table" w:styleId="1052">
    <w:name w:val="中等深浅网格 1 - 强调文字颜色 2"/>
    <w:basedOn w:val="993"/>
    <w:next w:val="1052"/>
    <w:link w:val="982"/>
    <w:qFormat/>
    <w:rPr>
      <w:sz w:val="21"/>
      <w:szCs w:val="24"/>
    </w:rPr>
    <w:tblPr/>
  </w:style>
  <w:style w:type="character" w:styleId="1053">
    <w:name w:val="要点"/>
    <w:next w:val="1053"/>
    <w:link w:val="982"/>
    <w:qFormat/>
    <w:rPr>
      <w:b/>
      <w:bCs/>
    </w:rPr>
  </w:style>
  <w:style w:type="character" w:styleId="1054">
    <w:name w:val="页码"/>
    <w:next w:val="1054"/>
    <w:link w:val="982"/>
    <w:qFormat/>
  </w:style>
  <w:style w:type="character" w:styleId="1055">
    <w:name w:val="已访问的超链接"/>
    <w:next w:val="1055"/>
    <w:link w:val="982"/>
    <w:uiPriority w:val="99"/>
    <w:qFormat/>
    <w:rPr>
      <w:color w:val="800080"/>
      <w:u w:val="single"/>
    </w:rPr>
  </w:style>
  <w:style w:type="character" w:styleId="1056">
    <w:name w:val="强调"/>
    <w:next w:val="1056"/>
    <w:link w:val="982"/>
    <w:qFormat/>
    <w:rPr>
      <w:color w:val="cc0033"/>
    </w:rPr>
  </w:style>
  <w:style w:type="character" w:styleId="1057">
    <w:name w:val="超链接"/>
    <w:next w:val="1057"/>
    <w:link w:val="982"/>
    <w:uiPriority w:val="99"/>
    <w:qFormat/>
    <w:rPr>
      <w:color w:val="0000ff"/>
      <w:u w:val="single"/>
    </w:rPr>
  </w:style>
  <w:style w:type="character" w:styleId="1058">
    <w:name w:val="批注引用"/>
    <w:next w:val="1058"/>
    <w:link w:val="982"/>
    <w:uiPriority w:val="99"/>
    <w:qFormat/>
    <w:rPr>
      <w:sz w:val="21"/>
      <w:szCs w:val="21"/>
    </w:rPr>
  </w:style>
  <w:style w:type="character" w:styleId="1059">
    <w:name w:val="HTML 引文"/>
    <w:next w:val="1059"/>
    <w:link w:val="982"/>
    <w:qFormat/>
    <w:rPr>
      <w:i/>
      <w:iCs/>
    </w:rPr>
  </w:style>
  <w:style w:type="character" w:styleId="1060">
    <w:name w:val="批注文字 字符"/>
    <w:next w:val="1060"/>
    <w:link w:val="982"/>
    <w:uiPriority w:val="99"/>
    <w:qFormat/>
    <w:rPr>
      <w:rFonts w:ascii="Times New Roman" w:hAnsi="Times New Roman" w:eastAsia="宋体" w:cs="Times New Roman"/>
      <w:sz w:val="24"/>
      <w:lang w:val="en-US" w:eastAsia="zh-CN" w:bidi="ar-SA"/>
    </w:rPr>
  </w:style>
  <w:style w:type="character" w:styleId="1061">
    <w:name w:val="c21"/>
    <w:next w:val="1061"/>
    <w:link w:val="982"/>
    <w:qFormat/>
    <w:rPr>
      <w:rFonts w:ascii="ˎ̥" w:hAnsi="ˎ̥"/>
      <w:color w:val="000000"/>
      <w:sz w:val="20"/>
      <w:szCs w:val="20"/>
      <w:u w:val="none"/>
    </w:rPr>
  </w:style>
  <w:style w:type="character" w:styleId="1062">
    <w:name w:val="title4"/>
    <w:next w:val="1062"/>
    <w:link w:val="982"/>
    <w:qFormat/>
    <w:rPr>
      <w:b/>
      <w:bCs/>
      <w:color w:val="1d87b3"/>
      <w:sz w:val="15"/>
      <w:szCs w:val="15"/>
    </w:rPr>
  </w:style>
  <w:style w:type="character" w:styleId="1063">
    <w:name w:val="标题 2 Char Char"/>
    <w:next w:val="1063"/>
    <w:link w:val="982"/>
    <w:qFormat/>
    <w:rPr>
      <w:rFonts w:ascii="Arial" w:hAnsi="Arial" w:eastAsia="黑体"/>
      <w:b/>
      <w:bCs/>
      <w:sz w:val="32"/>
      <w:szCs w:val="32"/>
      <w:lang w:val="en-US" w:eastAsia="zh-CN" w:bidi="ar-SA"/>
    </w:rPr>
  </w:style>
  <w:style w:type="character" w:styleId="1064">
    <w:name w:val="black1"/>
    <w:next w:val="1064"/>
    <w:link w:val="982"/>
    <w:qFormat/>
    <w:rPr>
      <w:color w:val="000000"/>
    </w:rPr>
  </w:style>
  <w:style w:type="character" w:styleId="1065">
    <w:name w:val="street-address"/>
    <w:next w:val="1065"/>
    <w:link w:val="982"/>
    <w:qFormat/>
  </w:style>
  <w:style w:type="character" w:styleId="1066">
    <w:name w:val="locality"/>
    <w:next w:val="1066"/>
    <w:link w:val="982"/>
    <w:qFormat/>
  </w:style>
  <w:style w:type="character" w:styleId="1067">
    <w:name w:val="正文文本缩进 Char1"/>
    <w:next w:val="1067"/>
    <w:link w:val="1068"/>
    <w:qFormat/>
    <w:rPr>
      <w:rFonts w:ascii="宋体" w:hAnsi="宋体" w:eastAsia="宋体"/>
      <w:sz w:val="24"/>
      <w:szCs w:val="24"/>
      <w:lang w:bidi="ar-SA"/>
    </w:rPr>
  </w:style>
  <w:style w:type="paragraph" w:styleId="1068">
    <w:name w:val="正文文本缩进1"/>
    <w:basedOn w:val="982"/>
    <w:next w:val="1068"/>
    <w:link w:val="1067"/>
    <w:qFormat/>
    <w:pPr>
      <w:ind w:firstLine="480"/>
      <w:spacing w:line="480" w:lineRule="exact"/>
    </w:pPr>
    <w:rPr>
      <w:rFonts w:ascii="宋体" w:hAnsi="宋体"/>
      <w:sz w:val="24"/>
    </w:rPr>
  </w:style>
  <w:style w:type="character" w:styleId="1069">
    <w:name w:val="Char Char11"/>
    <w:next w:val="1069"/>
    <w:link w:val="982"/>
    <w:qFormat/>
    <w:rPr>
      <w:rFonts w:ascii="宋体" w:eastAsia="宋体"/>
      <w:b/>
      <w:sz w:val="24"/>
      <w:u w:val="single"/>
      <w:lang w:val="en-US" w:eastAsia="zh-CN" w:bidi="ar-SA"/>
    </w:rPr>
  </w:style>
  <w:style w:type="character" w:styleId="1070">
    <w:name w:val="txt"/>
    <w:next w:val="1070"/>
    <w:link w:val="982"/>
    <w:qFormat/>
  </w:style>
  <w:style w:type="character" w:styleId="1071">
    <w:name w:val="正文缩进 Char Char"/>
    <w:next w:val="1071"/>
    <w:link w:val="1072"/>
    <w:qFormat/>
    <w:rPr>
      <w:rFonts w:ascii="宋体" w:eastAsia="宋体"/>
      <w:color w:val="000000"/>
      <w:sz w:val="28"/>
      <w:lang w:bidi="ar-SA"/>
    </w:rPr>
  </w:style>
  <w:style w:type="paragraph" w:styleId="1072">
    <w:name w:val="正文缩进1"/>
    <w:basedOn w:val="982"/>
    <w:next w:val="1072"/>
    <w:link w:val="1071"/>
    <w:qFormat/>
    <w:pPr>
      <w:ind w:firstLine="567"/>
      <w:spacing w:line="480" w:lineRule="exact"/>
      <w:widowControl/>
    </w:pPr>
    <w:rPr>
      <w:rFonts w:ascii="宋体"/>
      <w:color w:val="000000"/>
      <w:sz w:val="28"/>
      <w:szCs w:val="20"/>
    </w:rPr>
  </w:style>
  <w:style w:type="character" w:styleId="1073">
    <w:name w:val="普通文字1 Char1"/>
    <w:next w:val="1073"/>
    <w:link w:val="982"/>
    <w:qFormat/>
    <w:rPr>
      <w:rFonts w:ascii="宋体" w:hAnsi="Courier New" w:eastAsia="宋体"/>
      <w:sz w:val="21"/>
      <w:lang w:val="en-US" w:eastAsia="zh-CN" w:bidi="ar-SA"/>
    </w:rPr>
  </w:style>
  <w:style w:type="character" w:styleId="1074">
    <w:name w:val="chanpin1"/>
    <w:next w:val="1074"/>
    <w:link w:val="982"/>
    <w:qFormat/>
    <w:rPr>
      <w:rFonts w:ascii="ˎ̥" w:hAnsi="ˎ̥"/>
      <w:color w:val="000000"/>
      <w:sz w:val="20"/>
      <w:szCs w:val="20"/>
      <w:u w:val="none"/>
    </w:rPr>
  </w:style>
  <w:style w:type="character" w:styleId="1075">
    <w:name w:val="列出段落 Char1"/>
    <w:next w:val="1075"/>
    <w:link w:val="1076"/>
    <w:uiPriority w:val="34"/>
    <w:qFormat/>
    <w:rPr>
      <w:rFonts w:ascii="Calibri" w:hAnsi="Calibri" w:eastAsia="宋体"/>
      <w:sz w:val="21"/>
      <w:szCs w:val="22"/>
      <w:lang w:val="en-US" w:eastAsia="zh-CN" w:bidi="ar-SA"/>
    </w:rPr>
  </w:style>
  <w:style w:type="paragraph" w:styleId="1076">
    <w:name w:val="列出段落"/>
    <w:basedOn w:val="982"/>
    <w:next w:val="1076"/>
    <w:link w:val="1075"/>
    <w:uiPriority w:val="99"/>
    <w:qFormat/>
    <w:pPr>
      <w:ind w:firstLine="420"/>
    </w:pPr>
    <w:rPr>
      <w:rFonts w:ascii="Calibri" w:hAnsi="Calibri"/>
      <w:szCs w:val="22"/>
    </w:rPr>
  </w:style>
  <w:style w:type="character" w:styleId="1077">
    <w:name w:val="标题 3 Char Char"/>
    <w:next w:val="1077"/>
    <w:link w:val="982"/>
    <w:qFormat/>
    <w:rPr>
      <w:rFonts w:eastAsia="宋体"/>
      <w:b/>
      <w:bCs/>
      <w:sz w:val="32"/>
      <w:szCs w:val="32"/>
      <w:lang w:val="en-US" w:eastAsia="zh-CN" w:bidi="ar-SA"/>
    </w:rPr>
  </w:style>
  <w:style w:type="character" w:styleId="1078">
    <w:name w:val="段1 Char"/>
    <w:next w:val="1078"/>
    <w:link w:val="982"/>
    <w:qFormat/>
    <w:rPr>
      <w:rFonts w:ascii="宋体" w:eastAsia="宋体"/>
      <w:sz w:val="24"/>
      <w:lang w:val="en-US" w:eastAsia="zh-CN" w:bidi="ar-SA"/>
    </w:rPr>
  </w:style>
  <w:style w:type="character" w:styleId="1079">
    <w:name w:val="chanpin拷贝"/>
    <w:next w:val="1079"/>
    <w:link w:val="982"/>
    <w:qFormat/>
  </w:style>
  <w:style w:type="character" w:styleId="1080">
    <w:name w:val="纯文本 Char1"/>
    <w:next w:val="1080"/>
    <w:link w:val="982"/>
    <w:qFormat/>
    <w:rPr>
      <w:rFonts w:ascii="宋体" w:hAnsi="Courier New" w:eastAsia="宋体"/>
      <w:sz w:val="21"/>
      <w:lang w:val="en-US" w:eastAsia="zh-CN" w:bidi="ar-SA"/>
    </w:rPr>
  </w:style>
  <w:style w:type="character" w:styleId="1081">
    <w:name w:val="apple-style-span"/>
    <w:next w:val="1081"/>
    <w:link w:val="982"/>
    <w:qFormat/>
    <w:rPr>
      <w:rFonts w:cs="Times New Roman"/>
    </w:rPr>
  </w:style>
  <w:style w:type="paragraph" w:styleId="1082">
    <w:name w:val="二级条标题"/>
    <w:basedOn w:val="1083"/>
    <w:next w:val="982"/>
    <w:link w:val="982"/>
    <w:qFormat/>
    <w:pPr>
      <w:numPr>
        <w:ilvl w:val="0"/>
        <w:numId w:val="0"/>
      </w:numPr>
      <w:ind w:hanging="840"/>
      <w:tabs>
        <w:tab w:val="left" w:pos="360" w:leader="none"/>
        <w:tab w:val="left" w:pos="840" w:leader="none"/>
      </w:tabs>
      <w:outlineLvl w:val="2"/>
    </w:pPr>
    <w:rPr>
      <w:rFonts w:ascii="宋体" w:eastAsia="宋体"/>
      <w:b w:val="0"/>
    </w:rPr>
  </w:style>
  <w:style w:type="paragraph" w:styleId="1083">
    <w:name w:val="一级条标题"/>
    <w:basedOn w:val="1084"/>
    <w:next w:val="982"/>
    <w:link w:val="982"/>
    <w:qFormat/>
    <w:pPr>
      <w:numPr>
        <w:ilvl w:val="0"/>
        <w:numId w:val="0"/>
      </w:numPr>
      <w:ind w:hanging="840"/>
      <w:tabs>
        <w:tab w:val="left" w:pos="360" w:leader="none"/>
        <w:tab w:val="left" w:pos="840" w:leader="none"/>
      </w:tabs>
      <w:outlineLvl w:val="1"/>
    </w:pPr>
  </w:style>
  <w:style w:type="paragraph" w:styleId="1084">
    <w:name w:val="章标题"/>
    <w:next w:val="982"/>
    <w:link w:val="982"/>
    <w:qFormat/>
    <w:pPr>
      <w:jc w:val="both"/>
      <w:spacing w:before="156" w:after="156" w:line="460" w:lineRule="exact"/>
      <w:outlineLvl w:val="0"/>
    </w:pPr>
    <w:rPr>
      <w:rFonts w:ascii="黑体" w:eastAsia="黑体"/>
      <w:b/>
      <w:sz w:val="28"/>
      <w:lang w:val="en-US" w:eastAsia="zh-CN" w:bidi="ar-SA"/>
    </w:rPr>
  </w:style>
  <w:style w:type="paragraph" w:styleId="1085">
    <w:name w:val="font7"/>
    <w:basedOn w:val="982"/>
    <w:next w:val="1085"/>
    <w:link w:val="982"/>
    <w:qFormat/>
    <w:pPr>
      <w:jc w:val="left"/>
      <w:spacing w:before="100" w:beforeAutospacing="1" w:after="100" w:afterAutospacing="1"/>
      <w:widowControl/>
    </w:pPr>
    <w:rPr>
      <w:rFonts w:eastAsia="Arial Unicode MS"/>
      <w:b/>
      <w:bCs/>
      <w:color w:val="000000"/>
      <w:sz w:val="20"/>
      <w:szCs w:val="20"/>
    </w:rPr>
  </w:style>
  <w:style w:type="paragraph" w:styleId="1086">
    <w:name w:val="字元 字元"/>
    <w:basedOn w:val="982"/>
    <w:next w:val="1086"/>
    <w:link w:val="982"/>
    <w:qFormat/>
    <w:rPr>
      <w:rFonts w:ascii="Tahoma" w:hAnsi="Tahoma"/>
      <w:sz w:val="24"/>
      <w:szCs w:val="20"/>
    </w:rPr>
  </w:style>
  <w:style w:type="paragraph" w:styleId="1087">
    <w:name w:val="Char3 Char Char Char"/>
    <w:basedOn w:val="982"/>
    <w:next w:val="1087"/>
    <w:link w:val="982"/>
    <w:qFormat/>
    <w:rPr>
      <w:rFonts w:ascii="Tahoma" w:hAnsi="Tahoma"/>
      <w:sz w:val="24"/>
      <w:szCs w:val="20"/>
    </w:rPr>
  </w:style>
  <w:style w:type="paragraph" w:styleId="1088">
    <w:name w:val="font6"/>
    <w:basedOn w:val="982"/>
    <w:next w:val="1088"/>
    <w:link w:val="982"/>
    <w:qFormat/>
    <w:pPr>
      <w:jc w:val="left"/>
      <w:spacing w:before="100" w:beforeAutospacing="1" w:after="100" w:afterAutospacing="1"/>
      <w:widowControl/>
    </w:pPr>
    <w:rPr>
      <w:rFonts w:ascii="宋体" w:hAnsi="宋体" w:cs="宋体"/>
      <w:sz w:val="20"/>
      <w:szCs w:val="20"/>
    </w:rPr>
  </w:style>
  <w:style w:type="paragraph" w:styleId="1089">
    <w:name w:val="项目编号2"/>
    <w:basedOn w:val="1090"/>
    <w:next w:val="1089"/>
    <w:link w:val="982"/>
    <w:qFormat/>
    <w:pPr>
      <w:numPr>
        <w:ilvl w:val="0"/>
        <w:numId w:val="0"/>
      </w:numPr>
      <w:ind w:left="420" w:hanging="420"/>
    </w:pPr>
  </w:style>
  <w:style w:type="paragraph" w:styleId="1090">
    <w:name w:val="项目编号1"/>
    <w:basedOn w:val="982"/>
    <w:next w:val="1090"/>
    <w:link w:val="982"/>
    <w:qFormat/>
    <w:pPr>
      <w:ind w:left="420" w:hanging="420"/>
      <w:spacing w:before="100" w:beforeAutospacing="1" w:after="100" w:afterAutospacing="1" w:line="360" w:lineRule="auto"/>
    </w:pPr>
    <w:rPr>
      <w:sz w:val="24"/>
    </w:rPr>
  </w:style>
  <w:style w:type="paragraph" w:styleId="1091">
    <w:name w:val="图中文字"/>
    <w:basedOn w:val="982"/>
    <w:next w:val="1091"/>
    <w:link w:val="982"/>
    <w:qFormat/>
    <w:pPr>
      <w:jc w:val="center"/>
      <w:spacing w:line="0" w:lineRule="atLeast"/>
    </w:pPr>
    <w:rPr>
      <w:sz w:val="24"/>
      <w:szCs w:val="20"/>
    </w:rPr>
  </w:style>
  <w:style w:type="paragraph" w:styleId="1092">
    <w:name w:val="xl46"/>
    <w:basedOn w:val="982"/>
    <w:next w:val="1092"/>
    <w:link w:val="9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name w:val="xl25"/>
    <w:basedOn w:val="982"/>
    <w:next w:val="1093"/>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Char2"/>
    <w:basedOn w:val="982"/>
    <w:next w:val="1094"/>
    <w:link w:val="982"/>
    <w:qFormat/>
    <w:rPr>
      <w:rFonts w:ascii="Tahoma" w:hAnsi="Tahoma"/>
      <w:sz w:val="24"/>
      <w:szCs w:val="20"/>
    </w:rPr>
  </w:style>
  <w:style w:type="paragraph" w:styleId="1095">
    <w:name w:val="xl35"/>
    <w:basedOn w:val="982"/>
    <w:next w:val="1095"/>
    <w:link w:val="9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6">
    <w:name w:val="xl40"/>
    <w:basedOn w:val="982"/>
    <w:next w:val="1096"/>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52"/>
    <w:basedOn w:val="982"/>
    <w:next w:val="1097"/>
    <w:link w:val="9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8">
    <w:name w:val="xl43"/>
    <w:basedOn w:val="982"/>
    <w:next w:val="1098"/>
    <w:link w:val="9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background1"/>
    <w:basedOn w:val="982"/>
    <w:next w:val="1099"/>
    <w:link w:val="982"/>
    <w:qFormat/>
    <w:pPr>
      <w:jc w:val="left"/>
      <w:spacing w:before="100" w:beforeAutospacing="1" w:after="100" w:afterAutospacing="1"/>
      <w:widowControl/>
    </w:pPr>
    <w:rPr>
      <w:rFonts w:ascii="宋体" w:hAnsi="宋体" w:cs="宋体"/>
      <w:sz w:val="24"/>
    </w:rPr>
  </w:style>
  <w:style w:type="paragraph" w:styleId="1100">
    <w:name w:val="Char Char Char Char Char Char Char"/>
    <w:basedOn w:val="982"/>
    <w:next w:val="1100"/>
    <w:link w:val="982"/>
    <w:qFormat/>
    <w:pPr>
      <w:ind w:firstLine="200"/>
      <w:spacing w:line="360" w:lineRule="auto"/>
    </w:pPr>
    <w:rPr>
      <w:rFonts w:eastAsia="仿宋_GB2312"/>
      <w:sz w:val="24"/>
    </w:rPr>
  </w:style>
  <w:style w:type="paragraph" w:styleId="1101">
    <w:name w:val="xl38"/>
    <w:basedOn w:val="982"/>
    <w:next w:val="1101"/>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2">
    <w:name w:val="xl36"/>
    <w:basedOn w:val="982"/>
    <w:next w:val="1102"/>
    <w:link w:val="9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name w:val="正文 + 宋体"/>
    <w:basedOn w:val="982"/>
    <w:next w:val="1103"/>
    <w:link w:val="982"/>
    <w:qFormat/>
    <w:pPr>
      <w:ind w:left="360" w:hanging="360"/>
      <w:jc w:val="left"/>
      <w:widowControl/>
    </w:pPr>
    <w:rPr>
      <w:rFonts w:ascii="宋体" w:hAnsi="宋体" w:cs="宋体"/>
      <w:b/>
      <w:bCs/>
      <w:color w:val="000000"/>
      <w:sz w:val="18"/>
      <w:szCs w:val="18"/>
    </w:rPr>
  </w:style>
  <w:style w:type="paragraph" w:styleId="1104">
    <w:name w:val="正文列项_数字"/>
    <w:basedOn w:val="982"/>
    <w:next w:val="1104"/>
    <w:link w:val="982"/>
    <w:qFormat/>
    <w:pPr>
      <w:ind w:left="680" w:hanging="150"/>
      <w:spacing w:line="460" w:lineRule="exact"/>
      <w:outlineLvl w:val="7"/>
    </w:pPr>
    <w:rPr>
      <w:rFonts w:ascii="宋体"/>
      <w:sz w:val="28"/>
      <w:szCs w:val="20"/>
    </w:rPr>
  </w:style>
  <w:style w:type="paragraph" w:styleId="1105">
    <w:name w:val="xl39"/>
    <w:basedOn w:val="982"/>
    <w:next w:val="1105"/>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37"/>
    <w:basedOn w:val="982"/>
    <w:next w:val="1106"/>
    <w:link w:val="9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name w:val="xl32"/>
    <w:basedOn w:val="982"/>
    <w:next w:val="1107"/>
    <w:link w:val="9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font8"/>
    <w:basedOn w:val="982"/>
    <w:next w:val="1108"/>
    <w:link w:val="982"/>
    <w:qFormat/>
    <w:pPr>
      <w:jc w:val="left"/>
      <w:spacing w:before="100" w:beforeAutospacing="1" w:after="100" w:afterAutospacing="1"/>
      <w:widowControl/>
    </w:pPr>
    <w:rPr>
      <w:sz w:val="36"/>
      <w:szCs w:val="36"/>
    </w:rPr>
  </w:style>
  <w:style w:type="paragraph" w:styleId="1109">
    <w:name w:val="Char"/>
    <w:basedOn w:val="982"/>
    <w:next w:val="1109"/>
    <w:link w:val="982"/>
    <w:qFormat/>
    <w:pPr>
      <w:tabs>
        <w:tab w:val="left" w:pos="360" w:leader="none"/>
      </w:tabs>
    </w:pPr>
    <w:rPr>
      <w:sz w:val="24"/>
    </w:rPr>
  </w:style>
  <w:style w:type="paragraph" w:styleId="1110">
    <w:name w:val="Char Char Char Char Char Char Char Char Char Char Char Char Char Char Char Char"/>
    <w:basedOn w:val="982"/>
    <w:next w:val="1110"/>
    <w:link w:val="982"/>
    <w:qFormat/>
    <w:pPr>
      <w:jc w:val="center"/>
      <w:spacing w:after="160" w:line="240" w:lineRule="exact"/>
      <w:widowControl/>
    </w:pPr>
    <w:rPr>
      <w:rFonts w:ascii="宋体" w:hAnsi="宋体"/>
      <w:b/>
      <w:sz w:val="30"/>
      <w:szCs w:val="30"/>
      <w:lang w:eastAsia="en-US"/>
    </w:rPr>
  </w:style>
  <w:style w:type="paragraph" w:styleId="1111">
    <w:name w:val="xl45"/>
    <w:basedOn w:val="982"/>
    <w:next w:val="1111"/>
    <w:link w:val="9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2">
    <w:name w:val="Char Char1 Char Char Char Char Char Char"/>
    <w:basedOn w:val="982"/>
    <w:next w:val="1112"/>
    <w:link w:val="982"/>
    <w:qFormat/>
    <w:pPr>
      <w:jc w:val="left"/>
      <w:spacing w:after="160" w:line="240" w:lineRule="exact"/>
      <w:widowControl/>
    </w:pPr>
    <w:rPr>
      <w:rFonts w:ascii="Verdana" w:hAnsi="Verdana" w:eastAsia="仿宋_GB2312"/>
      <w:sz w:val="24"/>
      <w:szCs w:val="20"/>
      <w:lang w:eastAsia="en-US"/>
    </w:rPr>
  </w:style>
  <w:style w:type="paragraph" w:styleId="1113">
    <w:name w:val="Char Char1"/>
    <w:basedOn w:val="1007"/>
    <w:next w:val="1113"/>
    <w:link w:val="982"/>
    <w:qFormat/>
    <w:rPr>
      <w:rFonts w:ascii="Tahoma" w:hAnsi="Tahoma"/>
      <w:sz w:val="24"/>
    </w:rPr>
  </w:style>
  <w:style w:type="paragraph" w:styleId="1114">
    <w:name w:val="xl26"/>
    <w:basedOn w:val="982"/>
    <w:next w:val="1114"/>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5">
    <w:name w:val="xl30"/>
    <w:basedOn w:val="982"/>
    <w:next w:val="1115"/>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xl41"/>
    <w:basedOn w:val="982"/>
    <w:next w:val="1116"/>
    <w:link w:val="9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7">
    <w:name w:val="样式 宋体 五号 行距: 单倍行距"/>
    <w:basedOn w:val="982"/>
    <w:next w:val="1117"/>
    <w:link w:val="982"/>
    <w:qFormat/>
    <w:pPr>
      <w:jc w:val="left"/>
    </w:pPr>
    <w:rPr>
      <w:rFonts w:ascii="宋体" w:hAnsi="宋体"/>
      <w:szCs w:val="20"/>
    </w:rPr>
  </w:style>
  <w:style w:type="paragraph" w:styleId="1118">
    <w:name w:val="Char1 Char Char Char1"/>
    <w:basedOn w:val="982"/>
    <w:next w:val="1118"/>
    <w:link w:val="982"/>
    <w:qFormat/>
    <w:rPr>
      <w:rFonts w:ascii="Tahoma" w:hAnsi="Tahoma" w:cs="仿宋_GB2312"/>
      <w:sz w:val="24"/>
      <w:szCs w:val="28"/>
    </w:rPr>
  </w:style>
  <w:style w:type="paragraph" w:styleId="1119">
    <w:name w:val="四级条标题"/>
    <w:basedOn w:val="1120"/>
    <w:next w:val="982"/>
    <w:link w:val="982"/>
    <w:qFormat/>
    <w:pPr>
      <w:numPr>
        <w:ilvl w:val="0"/>
        <w:numId w:val="0"/>
      </w:numPr>
      <w:ind w:hanging="840"/>
      <w:tabs>
        <w:tab w:val="left" w:pos="360" w:leader="none"/>
        <w:tab w:val="left" w:pos="840" w:leader="none"/>
      </w:tabs>
      <w:outlineLvl w:val="4"/>
    </w:pPr>
  </w:style>
  <w:style w:type="paragraph" w:styleId="1120">
    <w:name w:val="三级条标题"/>
    <w:basedOn w:val="1082"/>
    <w:next w:val="982"/>
    <w:link w:val="982"/>
    <w:qFormat/>
    <w:pPr>
      <w:tabs>
        <w:tab w:val="left" w:pos="360" w:leader="none"/>
        <w:tab w:val="left" w:pos="840" w:leader="none"/>
      </w:tabs>
      <w:outlineLvl w:val="3"/>
    </w:pPr>
  </w:style>
  <w:style w:type="paragraph" w:styleId="1121">
    <w:name w:val="??"/>
    <w:next w:val="1121"/>
    <w:link w:val="982"/>
    <w:qFormat/>
    <w:pPr>
      <w:jc w:val="both"/>
      <w:widowControl w:val="off"/>
    </w:pPr>
    <w:rPr>
      <w:sz w:val="21"/>
      <w:lang w:val="en-US" w:eastAsia="en-US" w:bidi="ar-SA"/>
    </w:rPr>
  </w:style>
  <w:style w:type="paragraph" w:styleId="1122">
    <w:name w:val="样式 标题 2 + 宋体 五号 行距: 单倍行距"/>
    <w:basedOn w:val="984"/>
    <w:next w:val="1122"/>
    <w:link w:val="982"/>
    <w:qFormat/>
    <w:pPr>
      <w:ind w:left="1188" w:hanging="360"/>
      <w:jc w:val="left"/>
      <w:spacing w:before="260" w:after="260" w:line="240" w:lineRule="auto"/>
      <w:tabs>
        <w:tab w:val="left" w:pos="1188" w:leader="none"/>
      </w:tabs>
    </w:pPr>
    <w:rPr>
      <w:rFonts w:ascii="宋体" w:hAnsi="宋体" w:eastAsia="宋体"/>
      <w:bCs/>
      <w:sz w:val="21"/>
    </w:rPr>
  </w:style>
  <w:style w:type="paragraph" w:styleId="1123">
    <w:name w:val="List Paragraph1"/>
    <w:basedOn w:val="982"/>
    <w:next w:val="1123"/>
    <w:link w:val="982"/>
    <w:qFormat/>
    <w:pPr>
      <w:ind w:firstLine="420"/>
    </w:pPr>
    <w:rPr>
      <w:rFonts w:ascii="Calibri" w:hAnsi="Calibri"/>
      <w:szCs w:val="22"/>
    </w:rPr>
  </w:style>
  <w:style w:type="paragraph" w:styleId="1124">
    <w:name w:val="项目符号1"/>
    <w:basedOn w:val="1125"/>
    <w:next w:val="1124"/>
    <w:link w:val="982"/>
    <w:qFormat/>
    <w:pPr>
      <w:ind w:left="-25" w:firstLine="0"/>
    </w:pPr>
  </w:style>
  <w:style w:type="paragraph" w:styleId="1125">
    <w:name w:val="正文文本样式"/>
    <w:basedOn w:val="982"/>
    <w:next w:val="1125"/>
    <w:link w:val="982"/>
    <w:qFormat/>
    <w:pPr>
      <w:ind w:firstLine="482"/>
      <w:spacing w:line="360" w:lineRule="auto"/>
    </w:pPr>
    <w:rPr>
      <w:rFonts w:cs="宋体"/>
      <w:sz w:val="24"/>
      <w:szCs w:val="20"/>
    </w:rPr>
  </w:style>
  <w:style w:type="paragraph" w:styleId="1126">
    <w:name w:val="xl27"/>
    <w:basedOn w:val="982"/>
    <w:next w:val="1126"/>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7">
    <w:name w:val="font5"/>
    <w:basedOn w:val="982"/>
    <w:next w:val="1127"/>
    <w:link w:val="982"/>
    <w:qFormat/>
    <w:pPr>
      <w:jc w:val="left"/>
      <w:spacing w:before="100" w:beforeAutospacing="1" w:after="100" w:afterAutospacing="1"/>
      <w:widowControl/>
    </w:pPr>
    <w:rPr>
      <w:rFonts w:ascii="宋体" w:hAnsi="宋体" w:cs="宋体"/>
      <w:sz w:val="18"/>
      <w:szCs w:val="18"/>
    </w:rPr>
  </w:style>
  <w:style w:type="paragraph" w:styleId="1128">
    <w:name w:val="五级条标题"/>
    <w:basedOn w:val="1119"/>
    <w:next w:val="982"/>
    <w:link w:val="982"/>
    <w:qFormat/>
    <w:pPr>
      <w:numPr>
        <w:ilvl w:val="5"/>
      </w:numPr>
      <w:ind w:left="0" w:hanging="840"/>
      <w:tabs>
        <w:tab w:val="left" w:pos="360" w:leader="none"/>
        <w:tab w:val="left" w:pos="840" w:leader="none"/>
      </w:tabs>
      <w:outlineLvl w:val="5"/>
    </w:pPr>
  </w:style>
  <w:style w:type="paragraph" w:styleId="1129">
    <w:name w:val="xl49"/>
    <w:basedOn w:val="982"/>
    <w:next w:val="1129"/>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0">
    <w:name w:val="文档正文"/>
    <w:basedOn w:val="982"/>
    <w:next w:val="1130"/>
    <w:link w:val="982"/>
    <w:qFormat/>
    <w:pPr>
      <w:spacing w:before="120" w:after="120" w:line="180" w:lineRule="auto"/>
    </w:pPr>
    <w:rPr>
      <w:rFonts w:ascii="Arial" w:hAnsi="Arial"/>
      <w:szCs w:val="20"/>
    </w:rPr>
  </w:style>
  <w:style w:type="paragraph" w:styleId="1131">
    <w:name w:val="xl33"/>
    <w:basedOn w:val="982"/>
    <w:next w:val="1131"/>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xl42"/>
    <w:basedOn w:val="982"/>
    <w:next w:val="1132"/>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3">
    <w:name w:val="Char Char Char1 Char"/>
    <w:basedOn w:val="982"/>
    <w:next w:val="1133"/>
    <w:link w:val="982"/>
    <w:qFormat/>
    <w:rPr>
      <w:rFonts w:ascii="Tahoma" w:hAnsi="Tahoma"/>
      <w:sz w:val="24"/>
      <w:szCs w:val="20"/>
    </w:rPr>
  </w:style>
  <w:style w:type="paragraph" w:styleId="1134">
    <w:name w:val="xl44"/>
    <w:basedOn w:val="982"/>
    <w:next w:val="1134"/>
    <w:link w:val="9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5">
    <w:name w:val="1名"/>
    <w:basedOn w:val="982"/>
    <w:next w:val="1135"/>
    <w:link w:val="982"/>
    <w:qFormat/>
    <w:pPr>
      <w:ind w:left="360" w:hanging="360"/>
      <w:spacing w:before="120"/>
      <w:tabs>
        <w:tab w:val="left" w:pos="360" w:leader="none"/>
      </w:tabs>
    </w:pPr>
    <w:rPr>
      <w:rFonts w:ascii="宋体"/>
      <w:sz w:val="28"/>
      <w:szCs w:val="20"/>
    </w:rPr>
  </w:style>
  <w:style w:type="paragraph" w:styleId="1136">
    <w:name w:val="font9"/>
    <w:basedOn w:val="982"/>
    <w:next w:val="1136"/>
    <w:link w:val="982"/>
    <w:qFormat/>
    <w:pPr>
      <w:jc w:val="left"/>
      <w:spacing w:before="100" w:beforeAutospacing="1" w:after="100" w:afterAutospacing="1"/>
      <w:widowControl/>
    </w:pPr>
    <w:rPr>
      <w:rFonts w:hint="eastAsia" w:ascii="宋体" w:hAnsi="宋体" w:cs="Arial Unicode MS"/>
      <w:color w:val="000000"/>
      <w:sz w:val="20"/>
      <w:szCs w:val="20"/>
    </w:rPr>
  </w:style>
  <w:style w:type="paragraph" w:styleId="1137">
    <w:name w:val="Char Char Char1 Char1"/>
    <w:basedOn w:val="982"/>
    <w:next w:val="1137"/>
    <w:link w:val="982"/>
    <w:qFormat/>
    <w:rPr>
      <w:rFonts w:ascii="Tahoma" w:hAnsi="Tahoma"/>
      <w:sz w:val="24"/>
      <w:szCs w:val="20"/>
    </w:rPr>
  </w:style>
  <w:style w:type="paragraph" w:styleId="1138">
    <w:name w:val="Char Char Char Char Char Char Char Char Char Char"/>
    <w:basedOn w:val="982"/>
    <w:next w:val="1138"/>
    <w:link w:val="982"/>
    <w:qFormat/>
  </w:style>
  <w:style w:type="paragraph" w:styleId="1139">
    <w:name w:val="Char Char1 Char Char Char Char Char Char Char Char"/>
    <w:basedOn w:val="982"/>
    <w:next w:val="1139"/>
    <w:link w:val="982"/>
    <w:qFormat/>
    <w:pPr>
      <w:jc w:val="left"/>
      <w:spacing w:after="160" w:line="240" w:lineRule="exact"/>
      <w:widowControl/>
    </w:pPr>
    <w:rPr>
      <w:rFonts w:ascii="Verdana" w:hAnsi="Verdana"/>
      <w:sz w:val="20"/>
      <w:szCs w:val="20"/>
      <w:lang w:eastAsia="en-US"/>
    </w:rPr>
  </w:style>
  <w:style w:type="paragraph" w:styleId="1140">
    <w:name w:val="Char1"/>
    <w:basedOn w:val="982"/>
    <w:next w:val="1140"/>
    <w:link w:val="982"/>
    <w:qFormat/>
    <w:pPr>
      <w:tabs>
        <w:tab w:val="left" w:pos="360" w:leader="none"/>
      </w:tabs>
    </w:pPr>
    <w:rPr>
      <w:sz w:val="24"/>
    </w:rPr>
  </w:style>
  <w:style w:type="paragraph" w:styleId="1141">
    <w:name w:val="正文列项_字母"/>
    <w:basedOn w:val="982"/>
    <w:next w:val="1141"/>
    <w:link w:val="982"/>
    <w:qFormat/>
    <w:pPr>
      <w:ind w:left="480" w:hanging="180"/>
      <w:spacing w:line="460" w:lineRule="exact"/>
      <w:outlineLvl w:val="6"/>
    </w:pPr>
    <w:rPr>
      <w:rFonts w:ascii="宋体"/>
      <w:sz w:val="28"/>
      <w:szCs w:val="20"/>
    </w:rPr>
  </w:style>
  <w:style w:type="paragraph" w:styleId="1142">
    <w:name w:val="xl28"/>
    <w:basedOn w:val="982"/>
    <w:next w:val="1142"/>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47"/>
    <w:basedOn w:val="982"/>
    <w:next w:val="1143"/>
    <w:link w:val="9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默认段落字体 Para Char Char Char Char"/>
    <w:basedOn w:val="982"/>
    <w:next w:val="1144"/>
    <w:link w:val="982"/>
    <w:qFormat/>
    <w:rPr>
      <w:rFonts w:ascii="Arial" w:hAnsi="Arial" w:cs="Arial"/>
      <w:szCs w:val="21"/>
    </w:rPr>
  </w:style>
  <w:style w:type="paragraph" w:styleId="1145">
    <w:name w:val="xl48"/>
    <w:basedOn w:val="982"/>
    <w:next w:val="1145"/>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6">
    <w:name w:val="xl31"/>
    <w:basedOn w:val="982"/>
    <w:next w:val="1146"/>
    <w:link w:val="9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53"/>
    <w:basedOn w:val="982"/>
    <w:next w:val="1147"/>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 Char Char"/>
    <w:basedOn w:val="982"/>
    <w:next w:val="1148"/>
    <w:link w:val="982"/>
    <w:qFormat/>
    <w:rPr>
      <w:rFonts w:ascii="Tahoma" w:hAnsi="Tahoma"/>
      <w:sz w:val="24"/>
      <w:szCs w:val="20"/>
    </w:rPr>
  </w:style>
  <w:style w:type="paragraph" w:styleId="1149">
    <w:name w:val="xl50"/>
    <w:basedOn w:val="982"/>
    <w:next w:val="1149"/>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0">
    <w:name w:val="缺省文本"/>
    <w:basedOn w:val="982"/>
    <w:next w:val="1150"/>
    <w:link w:val="982"/>
    <w:qFormat/>
    <w:pPr>
      <w:jc w:val="left"/>
    </w:pPr>
    <w:rPr>
      <w:sz w:val="24"/>
    </w:rPr>
  </w:style>
  <w:style w:type="paragraph" w:styleId="1151">
    <w:name w:val="Char Char Char1"/>
    <w:basedOn w:val="982"/>
    <w:next w:val="1151"/>
    <w:link w:val="982"/>
    <w:qFormat/>
    <w:rPr>
      <w:rFonts w:ascii="Tahoma" w:hAnsi="Tahoma"/>
      <w:sz w:val="24"/>
      <w:szCs w:val="20"/>
    </w:rPr>
  </w:style>
  <w:style w:type="paragraph" w:styleId="1152">
    <w:name w:val="Char Char Char Char Char Char Char1"/>
    <w:basedOn w:val="982"/>
    <w:next w:val="1152"/>
    <w:link w:val="982"/>
    <w:qFormat/>
    <w:pPr>
      <w:ind w:firstLine="200"/>
      <w:spacing w:line="360" w:lineRule="auto"/>
    </w:pPr>
    <w:rPr>
      <w:rFonts w:eastAsia="仿宋_GB2312"/>
      <w:sz w:val="24"/>
    </w:rPr>
  </w:style>
  <w:style w:type="paragraph" w:styleId="1153">
    <w:name w:val="xl51"/>
    <w:basedOn w:val="982"/>
    <w:next w:val="1153"/>
    <w:link w:val="9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样式2"/>
    <w:basedOn w:val="1044"/>
    <w:next w:val="1154"/>
    <w:link w:val="982"/>
    <w:qFormat/>
    <w:pPr>
      <w:jc w:val="center"/>
      <w:spacing w:line="360" w:lineRule="auto"/>
    </w:pPr>
    <w:rPr>
      <w:sz w:val="24"/>
    </w:rPr>
  </w:style>
  <w:style w:type="paragraph" w:styleId="1155">
    <w:name w:val="xl24"/>
    <w:basedOn w:val="982"/>
    <w:next w:val="1155"/>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name w:val="xl29"/>
    <w:basedOn w:val="982"/>
    <w:next w:val="1156"/>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7">
    <w:name w:val="正文 + 楷体_GB2312"/>
    <w:basedOn w:val="982"/>
    <w:next w:val="1157"/>
    <w:link w:val="982"/>
    <w:qFormat/>
    <w:pPr>
      <w:jc w:val="left"/>
      <w:widowControl/>
    </w:pPr>
    <w:rPr>
      <w:rFonts w:ascii="楷体_GB2312" w:eastAsia="楷体_GB2312" w:cs="Arial"/>
      <w:sz w:val="24"/>
    </w:rPr>
  </w:style>
  <w:style w:type="paragraph" w:styleId="1158">
    <w:name w:val="xl34"/>
    <w:basedOn w:val="982"/>
    <w:next w:val="1158"/>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9">
    <w:name w:val="1 Char Char Char Char"/>
    <w:basedOn w:val="982"/>
    <w:next w:val="1159"/>
    <w:link w:val="982"/>
    <w:qFormat/>
    <w:rPr>
      <w:rFonts w:ascii="Tahoma" w:hAnsi="Tahoma"/>
      <w:sz w:val="24"/>
      <w:szCs w:val="20"/>
    </w:rPr>
  </w:style>
  <w:style w:type="paragraph" w:styleId="1160">
    <w:name w:val="Default"/>
    <w:next w:val="1160"/>
    <w:link w:val="982"/>
    <w:qFormat/>
    <w:pPr>
      <w:widowControl w:val="off"/>
    </w:pPr>
    <w:rPr>
      <w:rFonts w:ascii="Symbol" w:hAnsi="Symbol" w:cs="Symbol"/>
      <w:color w:val="000000"/>
      <w:sz w:val="24"/>
      <w:szCs w:val="24"/>
      <w:lang w:val="en-US" w:eastAsia="zh-CN" w:bidi="ar-SA"/>
    </w:rPr>
  </w:style>
  <w:style w:type="paragraph" w:styleId="1161">
    <w:name w:val="列出段落1"/>
    <w:basedOn w:val="982"/>
    <w:next w:val="1161"/>
    <w:link w:val="982"/>
    <w:qFormat/>
    <w:pPr>
      <w:ind w:firstLine="420"/>
    </w:pPr>
    <w:rPr>
      <w:rFonts w:ascii="Calibri" w:hAnsi="Calibri"/>
      <w:szCs w:val="22"/>
    </w:rPr>
  </w:style>
  <w:style w:type="paragraph" w:styleId="1162">
    <w:name w:val="default"/>
    <w:basedOn w:val="982"/>
    <w:next w:val="1162"/>
    <w:link w:val="982"/>
    <w:qFormat/>
    <w:pPr>
      <w:jc w:val="left"/>
      <w:spacing w:before="100" w:beforeAutospacing="1" w:after="100" w:afterAutospacing="1"/>
      <w:widowControl/>
    </w:pPr>
    <w:rPr>
      <w:rFonts w:ascii="宋体" w:hAnsi="宋体" w:cs="宋体"/>
      <w:sz w:val="24"/>
    </w:rPr>
  </w:style>
  <w:style w:type="paragraph" w:styleId="1163">
    <w:name w:val="字元 字元1"/>
    <w:basedOn w:val="982"/>
    <w:next w:val="1163"/>
    <w:link w:val="982"/>
    <w:qFormat/>
    <w:rPr>
      <w:rFonts w:ascii="Tahoma" w:hAnsi="Tahoma"/>
      <w:sz w:val="24"/>
      <w:szCs w:val="20"/>
    </w:rPr>
  </w:style>
  <w:style w:type="paragraph" w:styleId="1164">
    <w:name w:val="_Style 160"/>
    <w:next w:val="1164"/>
    <w:link w:val="982"/>
    <w:qFormat/>
    <w:rPr>
      <w:sz w:val="21"/>
      <w:szCs w:val="24"/>
      <w:lang w:val="en-US" w:eastAsia="zh-CN" w:bidi="ar-SA"/>
    </w:rPr>
  </w:style>
  <w:style w:type="paragraph" w:styleId="1165">
    <w:name w:val="项目编号3"/>
    <w:basedOn w:val="1125"/>
    <w:next w:val="1165"/>
    <w:link w:val="982"/>
    <w:qFormat/>
    <w:pPr>
      <w:ind w:left="902" w:hanging="420"/>
    </w:pPr>
  </w:style>
  <w:style w:type="paragraph" w:styleId="1166">
    <w:name w:val="Char21"/>
    <w:basedOn w:val="982"/>
    <w:next w:val="1166"/>
    <w:link w:val="982"/>
    <w:qFormat/>
    <w:rPr>
      <w:rFonts w:ascii="Tahoma" w:hAnsi="Tahoma"/>
      <w:sz w:val="24"/>
      <w:szCs w:val="20"/>
    </w:rPr>
  </w:style>
  <w:style w:type="paragraph" w:styleId="1167">
    <w:name w:val="表格文字"/>
    <w:basedOn w:val="1015"/>
    <w:next w:val="1167"/>
    <w:link w:val="982"/>
    <w:qFormat/>
    <w:pPr>
      <w:ind w:firstLine="0"/>
      <w:spacing w:before="20" w:after="20" w:line="240" w:lineRule="auto"/>
    </w:pPr>
    <w:rPr>
      <w:rFonts w:ascii="Century Gothic" w:hAnsi="Century Gothic"/>
      <w:sz w:val="20"/>
      <w:szCs w:val="20"/>
    </w:rPr>
  </w:style>
  <w:style w:type="paragraph" w:styleId="1168">
    <w:name w:val="Char Char Char Char Char Char Char Char Char Char1"/>
    <w:basedOn w:val="982"/>
    <w:next w:val="1168"/>
    <w:link w:val="982"/>
    <w:qFormat/>
    <w:rPr>
      <w:rFonts w:ascii="宋体" w:hAnsi="宋体" w:cs="Courier New"/>
      <w:sz w:val="32"/>
      <w:szCs w:val="32"/>
    </w:rPr>
  </w:style>
  <w:style w:type="paragraph" w:styleId="1169">
    <w:name w:val="正文文本样式 加粗"/>
    <w:basedOn w:val="1125"/>
    <w:next w:val="1169"/>
    <w:link w:val="982"/>
    <w:qFormat/>
    <w:rPr>
      <w:b/>
    </w:rPr>
  </w:style>
  <w:style w:type="paragraph" w:styleId="1170">
    <w:name w:val="Char2 Char Char Char Char Char Char"/>
    <w:basedOn w:val="982"/>
    <w:next w:val="1170"/>
    <w:link w:val="982"/>
    <w:qFormat/>
    <w:pPr>
      <w:jc w:val="center"/>
      <w:spacing w:line="400" w:lineRule="exact"/>
      <w:widowControl/>
    </w:pPr>
  </w:style>
  <w:style w:type="paragraph" w:styleId="1171">
    <w:name w:val="Char Char4"/>
    <w:basedOn w:val="982"/>
    <w:next w:val="1171"/>
    <w:link w:val="982"/>
    <w:qFormat/>
    <w:pPr>
      <w:jc w:val="center"/>
      <w:spacing w:line="400" w:lineRule="exact"/>
      <w:widowControl/>
    </w:pPr>
  </w:style>
  <w:style w:type="paragraph" w:styleId="1172">
    <w:name w:val="Char3 Char Char Char1"/>
    <w:basedOn w:val="982"/>
    <w:next w:val="1172"/>
    <w:link w:val="982"/>
    <w:qFormat/>
    <w:rPr>
      <w:rFonts w:ascii="Tahoma" w:hAnsi="Tahoma"/>
      <w:sz w:val="24"/>
      <w:szCs w:val="20"/>
    </w:rPr>
  </w:style>
  <w:style w:type="paragraph" w:styleId="1173">
    <w:name w:val="无间隔"/>
    <w:next w:val="1173"/>
    <w:link w:val="982"/>
    <w:qFormat/>
    <w:pPr>
      <w:jc w:val="both"/>
      <w:widowControl w:val="off"/>
    </w:pPr>
    <w:rPr>
      <w:sz w:val="21"/>
      <w:szCs w:val="24"/>
      <w:lang w:val="en-US" w:eastAsia="zh-CN" w:bidi="ar-SA"/>
    </w:rPr>
  </w:style>
  <w:style w:type="paragraph" w:styleId="1174">
    <w:name w:val="22222222222222"/>
    <w:basedOn w:val="982"/>
    <w:next w:val="1174"/>
    <w:link w:val="982"/>
    <w:qFormat/>
    <w:pPr>
      <w:ind w:firstLine="480"/>
      <w:jc w:val="left"/>
      <w:spacing w:line="360" w:lineRule="auto"/>
      <w:widowControl/>
    </w:pPr>
    <w:rPr>
      <w:color w:val="ff0000"/>
      <w:sz w:val="24"/>
      <w:szCs w:val="20"/>
    </w:rPr>
  </w:style>
  <w:style w:type="character" w:styleId="1175">
    <w:name w:val="中等深浅网格 1 - 强调文字颜色 2 Char"/>
    <w:next w:val="1175"/>
    <w:link w:val="1176"/>
    <w:qFormat/>
    <w:rPr>
      <w:sz w:val="21"/>
      <w:szCs w:val="24"/>
      <w:lang w:val="zh-CN" w:eastAsia="zh-CN" w:bidi="ar-SA"/>
    </w:rPr>
  </w:style>
  <w:style w:type="paragraph" w:styleId="1176">
    <w:name w:val="1"/>
    <w:next w:val="1176"/>
    <w:link w:val="1175"/>
    <w:qFormat/>
    <w:rPr>
      <w:sz w:val="21"/>
      <w:szCs w:val="24"/>
      <w:lang w:val="zh-CN" w:eastAsia="zh-CN" w:bidi="ar-SA"/>
    </w:rPr>
  </w:style>
  <w:style w:type="paragraph" w:styleId="1177">
    <w:name w:val="图文"/>
    <w:basedOn w:val="982"/>
    <w:next w:val="1177"/>
    <w:link w:val="982"/>
    <w:qFormat/>
    <w:pPr>
      <w:spacing w:after="50" w:line="360" w:lineRule="auto"/>
    </w:pPr>
    <w:rPr>
      <w:sz w:val="24"/>
    </w:rPr>
  </w:style>
  <w:style w:type="paragraph" w:styleId="1178">
    <w:name w:val="xl23"/>
    <w:basedOn w:val="982"/>
    <w:next w:val="1178"/>
    <w:link w:val="982"/>
    <w:qFormat/>
    <w:pPr>
      <w:spacing w:before="100" w:beforeAutospacing="1" w:after="100" w:afterAutospacing="1" w:line="360" w:lineRule="auto"/>
      <w:widowControl/>
    </w:pPr>
    <w:rPr>
      <w:sz w:val="24"/>
      <w:szCs w:val="20"/>
    </w:rPr>
  </w:style>
  <w:style w:type="paragraph" w:styleId="1179">
    <w:name w:val="正文表格"/>
    <w:basedOn w:val="982"/>
    <w:next w:val="1179"/>
    <w:link w:val="1180"/>
    <w:qFormat/>
    <w:pPr>
      <w:jc w:val="left"/>
    </w:pPr>
    <w:rPr>
      <w:rFonts w:ascii="宋体" w:hAnsi="宋体"/>
      <w:color w:val="000000"/>
      <w:szCs w:val="21"/>
    </w:rPr>
  </w:style>
  <w:style w:type="character" w:styleId="1180">
    <w:name w:val="正文表格 Char"/>
    <w:next w:val="1180"/>
    <w:link w:val="1179"/>
    <w:qFormat/>
    <w:rPr>
      <w:rFonts w:ascii="宋体" w:hAnsi="宋体"/>
      <w:color w:val="000000"/>
      <w:sz w:val="21"/>
      <w:szCs w:val="21"/>
    </w:rPr>
  </w:style>
  <w:style w:type="paragraph" w:styleId="1181">
    <w:name w:val="正文重点"/>
    <w:basedOn w:val="982"/>
    <w:next w:val="1181"/>
    <w:link w:val="1182"/>
    <w:qFormat/>
    <w:pPr>
      <w:ind w:firstLine="482"/>
      <w:jc w:val="left"/>
      <w:spacing w:line="360" w:lineRule="auto"/>
    </w:pPr>
    <w:rPr>
      <w:b/>
      <w:sz w:val="24"/>
      <w:szCs w:val="20"/>
    </w:rPr>
  </w:style>
  <w:style w:type="character" w:styleId="1182">
    <w:name w:val="正文重点 Char"/>
    <w:next w:val="1182"/>
    <w:link w:val="1181"/>
    <w:qFormat/>
    <w:rPr>
      <w:b/>
      <w:sz w:val="24"/>
    </w:rPr>
  </w:style>
  <w:style w:type="paragraph" w:styleId="1183">
    <w:name w:val="标题1-附件"/>
    <w:basedOn w:val="983"/>
    <w:next w:val="1183"/>
    <w:link w:val="982"/>
    <w:qFormat/>
    <w:pPr>
      <w:jc w:val="left"/>
    </w:pPr>
    <w:rPr>
      <w:sz w:val="24"/>
      <w:szCs w:val="24"/>
    </w:rPr>
  </w:style>
  <w:style w:type="paragraph" w:styleId="1184">
    <w:name w:val="正文小标题"/>
    <w:basedOn w:val="982"/>
    <w:next w:val="996"/>
    <w:link w:val="1185"/>
    <w:qFormat/>
    <w:pPr>
      <w:ind w:firstLine="482"/>
      <w:jc w:val="left"/>
      <w:spacing w:before="312" w:after="312"/>
    </w:pPr>
    <w:rPr>
      <w:rFonts w:ascii="宋体" w:hAnsi="宋体"/>
      <w:b/>
      <w:i/>
      <w:color w:val="ff0000"/>
      <w:sz w:val="24"/>
      <w:szCs w:val="20"/>
    </w:rPr>
  </w:style>
  <w:style w:type="character" w:styleId="1185">
    <w:name w:val="正文小标题 Char"/>
    <w:next w:val="1185"/>
    <w:link w:val="1184"/>
    <w:qFormat/>
    <w:rPr>
      <w:rFonts w:ascii="宋体" w:hAnsi="宋体"/>
      <w:b/>
      <w:i/>
      <w:color w:val="ff0000"/>
      <w:sz w:val="24"/>
    </w:rPr>
  </w:style>
  <w:style w:type="paragraph" w:styleId="1186">
    <w:name w:val="正文大标题"/>
    <w:basedOn w:val="1184"/>
    <w:next w:val="996"/>
    <w:link w:val="1187"/>
    <w:qFormat/>
    <w:pPr>
      <w:jc w:val="center"/>
    </w:pPr>
    <w:rPr>
      <w:i w:val="0"/>
      <w:color w:val="000000"/>
      <w:sz w:val="28"/>
      <w:szCs w:val="21"/>
    </w:rPr>
  </w:style>
  <w:style w:type="character" w:styleId="1187">
    <w:name w:val="正文大标题 Char"/>
    <w:next w:val="1187"/>
    <w:link w:val="1186"/>
    <w:qFormat/>
    <w:rPr>
      <w:rFonts w:ascii="宋体" w:hAnsi="宋体"/>
      <w:b/>
      <w:color w:val="000000"/>
      <w:sz w:val="28"/>
      <w:szCs w:val="21"/>
    </w:rPr>
  </w:style>
  <w:style w:type="paragraph" w:styleId="1188">
    <w:name w:val="注释"/>
    <w:basedOn w:val="982"/>
    <w:next w:val="1188"/>
    <w:link w:val="1189"/>
    <w:qFormat/>
    <w:pPr>
      <w:ind w:left="420" w:hanging="420"/>
      <w:jc w:val="left"/>
    </w:pPr>
    <w:rPr>
      <w:rFonts w:ascii="宋体" w:hAnsi="宋体"/>
      <w:szCs w:val="21"/>
    </w:rPr>
  </w:style>
  <w:style w:type="character" w:styleId="1189">
    <w:name w:val="注释 Char"/>
    <w:next w:val="1189"/>
    <w:link w:val="1188"/>
    <w:qFormat/>
    <w:rPr>
      <w:rFonts w:ascii="宋体" w:hAnsi="宋体"/>
      <w:sz w:val="21"/>
      <w:szCs w:val="21"/>
    </w:rPr>
  </w:style>
  <w:style w:type="paragraph" w:styleId="1190">
    <w:name w:val="正文须知-1级"/>
    <w:basedOn w:val="982"/>
    <w:next w:val="982"/>
    <w:link w:val="982"/>
    <w:qFormat/>
    <w:pPr>
      <w:ind w:left="680" w:hanging="680"/>
      <w:spacing w:line="300" w:lineRule="auto"/>
    </w:pPr>
    <w:rPr>
      <w:rFonts w:ascii="宋体" w:hAnsi="Calibri"/>
      <w:sz w:val="24"/>
      <w:szCs w:val="21"/>
    </w:rPr>
  </w:style>
  <w:style w:type="paragraph" w:styleId="1191">
    <w:name w:val="正文须知-2级"/>
    <w:basedOn w:val="982"/>
    <w:next w:val="1191"/>
    <w:link w:val="982"/>
    <w:qFormat/>
    <w:pPr>
      <w:ind w:left="851" w:hanging="851"/>
      <w:spacing w:line="300" w:lineRule="auto"/>
    </w:pPr>
    <w:rPr>
      <w:rFonts w:ascii="宋体" w:hAnsi="Calibri"/>
      <w:sz w:val="24"/>
      <w:szCs w:val="21"/>
    </w:rPr>
  </w:style>
  <w:style w:type="paragraph" w:styleId="1192">
    <w:name w:val="正文须知-3级"/>
    <w:basedOn w:val="982"/>
    <w:next w:val="1192"/>
    <w:link w:val="982"/>
    <w:qFormat/>
    <w:pPr>
      <w:ind w:left="851" w:hanging="355"/>
      <w:spacing w:line="300" w:lineRule="auto"/>
    </w:pPr>
    <w:rPr>
      <w:rFonts w:ascii="宋体" w:hAnsi="Calibri"/>
      <w:sz w:val="24"/>
      <w:szCs w:val="21"/>
    </w:rPr>
  </w:style>
  <w:style w:type="character" w:styleId="1193">
    <w:name w:val="纯文本 字符"/>
    <w:next w:val="1193"/>
    <w:link w:val="982"/>
    <w:uiPriority w:val="99"/>
    <w:qFormat/>
    <w:rPr>
      <w:rFonts w:ascii="宋体" w:hAnsi="Courier New" w:eastAsia="宋体" w:cs="Times New Roman"/>
      <w:sz w:val="21"/>
      <w:szCs w:val="21"/>
      <w:lang w:val="en-US" w:eastAsia="zh-CN" w:bidi="ar-SA"/>
    </w:rPr>
  </w:style>
  <w:style w:type="paragraph" w:styleId="1194">
    <w:name w:val="表格1"/>
    <w:basedOn w:val="982"/>
    <w:next w:val="1194"/>
    <w:link w:val="982"/>
    <w:qFormat/>
    <w:pPr>
      <w:ind w:firstLine="480"/>
      <w:jc w:val="center"/>
    </w:pPr>
    <w:rPr>
      <w:sz w:val="24"/>
      <w:szCs w:val="20"/>
    </w:rPr>
  </w:style>
  <w:style w:type="character" w:styleId="1195">
    <w:name w:val="纯文本 字符1"/>
    <w:next w:val="1195"/>
    <w:link w:val="982"/>
    <w:qFormat/>
    <w:rPr>
      <w:rFonts w:ascii="宋体" w:hAnsi="Courier New"/>
    </w:rPr>
  </w:style>
  <w:style w:type="character" w:styleId="1196">
    <w:name w:val="bjh-p"/>
    <w:next w:val="1196"/>
    <w:link w:val="982"/>
    <w:qFormat/>
  </w:style>
  <w:style w:type="paragraph" w:styleId="1197">
    <w:name w:val="无标题条"/>
    <w:next w:val="982"/>
    <w:link w:val="982"/>
    <w:qFormat/>
    <w:pPr>
      <w:jc w:val="both"/>
    </w:pPr>
    <w:rPr>
      <w:sz w:val="21"/>
      <w:lang w:val="en-US" w:eastAsia="zh-CN" w:bidi="ar-SA"/>
    </w:rPr>
  </w:style>
  <w:style w:type="character" w:styleId="1198">
    <w:name w:val="正文格式 Char"/>
    <w:next w:val="1198"/>
    <w:link w:val="1199"/>
    <w:qFormat/>
    <w:rPr>
      <w:rFonts w:ascii="宋体" w:hAnsi="宋体"/>
      <w:sz w:val="24"/>
      <w:szCs w:val="24"/>
      <w:lang w:val="en-GB"/>
    </w:rPr>
  </w:style>
  <w:style w:type="paragraph" w:styleId="1199">
    <w:name w:val="正文格式"/>
    <w:basedOn w:val="982"/>
    <w:next w:val="1199"/>
    <w:link w:val="1198"/>
    <w:qFormat/>
    <w:pPr>
      <w:ind w:firstLine="480"/>
      <w:spacing w:line="360" w:lineRule="auto"/>
    </w:pPr>
    <w:rPr>
      <w:rFonts w:ascii="宋体" w:hAnsi="宋体"/>
      <w:sz w:val="24"/>
      <w:lang w:val="en-GB"/>
    </w:rPr>
  </w:style>
  <w:style w:type="character" w:styleId="1200">
    <w:name w:val="标题 3 Char"/>
    <w:next w:val="1200"/>
    <w:link w:val="982"/>
    <w:qFormat/>
    <w:rPr>
      <w:rFonts w:ascii="宋体" w:eastAsia="宋体"/>
      <w:b/>
      <w:sz w:val="24"/>
      <w:u w:val="single"/>
      <w:lang w:val="en-US" w:eastAsia="zh-CN" w:bidi="ar-SA"/>
    </w:rPr>
  </w:style>
  <w:style w:type="character" w:styleId="1201">
    <w:name w:val="正文缩进 Char"/>
    <w:next w:val="1201"/>
    <w:link w:val="982"/>
    <w:qFormat/>
    <w:rPr>
      <w:rFonts w:ascii="宋体" w:eastAsia="宋体"/>
      <w:sz w:val="24"/>
      <w:szCs w:val="24"/>
      <w:lang w:val="en-US" w:eastAsia="zh-CN" w:bidi="ar-SA"/>
    </w:rPr>
  </w:style>
  <w:style w:type="character" w:styleId="1202">
    <w:name w:val="Char Char111"/>
    <w:next w:val="1202"/>
    <w:link w:val="982"/>
    <w:qFormat/>
    <w:rPr>
      <w:rFonts w:ascii="宋体" w:eastAsia="宋体"/>
      <w:b/>
      <w:sz w:val="24"/>
      <w:u w:val="single"/>
      <w:lang w:val="en-US" w:eastAsia="zh-CN" w:bidi="ar-SA"/>
    </w:rPr>
  </w:style>
  <w:style w:type="character" w:styleId="1203">
    <w:name w:val="正文文本缩进 Char"/>
    <w:next w:val="1203"/>
    <w:link w:val="982"/>
    <w:qFormat/>
    <w:rPr>
      <w:rFonts w:eastAsia="宋体"/>
      <w:sz w:val="24"/>
      <w:szCs w:val="24"/>
      <w:lang w:val="en-US" w:eastAsia="zh-CN" w:bidi="ar-SA"/>
    </w:rPr>
  </w:style>
  <w:style w:type="character" w:styleId="1204">
    <w:name w:val="列出段落 Char"/>
    <w:next w:val="1204"/>
    <w:link w:val="982"/>
    <w:uiPriority w:val="99"/>
    <w:qFormat/>
    <w:rPr>
      <w:rFonts w:ascii="Calibri" w:hAnsi="Calibri" w:eastAsia="宋体"/>
      <w:sz w:val="21"/>
      <w:szCs w:val="22"/>
      <w:lang w:val="en-US" w:eastAsia="zh-CN" w:bidi="ar-SA"/>
    </w:rPr>
  </w:style>
  <w:style w:type="character" w:styleId="1205">
    <w:name w:val="页眉 Char"/>
    <w:next w:val="1205"/>
    <w:link w:val="982"/>
    <w:qFormat/>
    <w:rPr>
      <w:rFonts w:eastAsia="宋体"/>
      <w:sz w:val="18"/>
      <w:szCs w:val="18"/>
      <w:lang w:val="en-US" w:eastAsia="zh-CN" w:bidi="ar-SA"/>
    </w:rPr>
  </w:style>
  <w:style w:type="character" w:styleId="1206">
    <w:name w:val="标题 2 Char"/>
    <w:next w:val="1206"/>
    <w:link w:val="982"/>
    <w:qFormat/>
    <w:rPr>
      <w:rFonts w:ascii="Arial" w:hAnsi="Arial" w:eastAsia="黑体"/>
      <w:b/>
      <w:sz w:val="30"/>
      <w:lang w:val="en-US" w:eastAsia="zh-CN" w:bidi="ar-SA"/>
    </w:rPr>
  </w:style>
  <w:style w:type="paragraph" w:styleId="1207">
    <w:name w:val="字元 字元2"/>
    <w:basedOn w:val="982"/>
    <w:next w:val="1207"/>
    <w:link w:val="982"/>
    <w:qFormat/>
    <w:rPr>
      <w:rFonts w:ascii="Tahoma" w:hAnsi="Tahoma"/>
      <w:sz w:val="24"/>
      <w:szCs w:val="20"/>
    </w:rPr>
  </w:style>
  <w:style w:type="paragraph" w:styleId="1208">
    <w:name w:val="Char3 Char Char Char2"/>
    <w:basedOn w:val="982"/>
    <w:next w:val="1208"/>
    <w:link w:val="982"/>
    <w:qFormat/>
    <w:rPr>
      <w:rFonts w:ascii="Tahoma" w:hAnsi="Tahoma"/>
      <w:sz w:val="24"/>
      <w:szCs w:val="20"/>
    </w:rPr>
  </w:style>
  <w:style w:type="paragraph" w:styleId="1209">
    <w:name w:val="正文文本缩进2"/>
    <w:basedOn w:val="982"/>
    <w:next w:val="1209"/>
    <w:link w:val="982"/>
    <w:qFormat/>
    <w:pPr>
      <w:ind w:firstLine="480"/>
      <w:spacing w:line="480" w:lineRule="exact"/>
    </w:pPr>
    <w:rPr>
      <w:rFonts w:ascii="宋体" w:hAnsi="宋体"/>
      <w:sz w:val="24"/>
      <w:lang w:val="zh-CN" w:eastAsia="zh-CN"/>
    </w:rPr>
  </w:style>
  <w:style w:type="paragraph" w:styleId="1210">
    <w:name w:val="Char3"/>
    <w:basedOn w:val="982"/>
    <w:next w:val="1210"/>
    <w:link w:val="982"/>
    <w:qFormat/>
    <w:pPr>
      <w:tabs>
        <w:tab w:val="left" w:pos="360" w:leader="none"/>
      </w:tabs>
    </w:pPr>
    <w:rPr>
      <w:sz w:val="24"/>
    </w:rPr>
  </w:style>
  <w:style w:type="paragraph" w:styleId="1211">
    <w:name w:val="Char Char Char Char Char Char Char Char Char Char Char Char Char Char Char Char1"/>
    <w:basedOn w:val="982"/>
    <w:next w:val="1211"/>
    <w:link w:val="982"/>
    <w:qFormat/>
    <w:pPr>
      <w:jc w:val="center"/>
      <w:spacing w:after="160" w:line="240" w:lineRule="exact"/>
      <w:widowControl/>
    </w:pPr>
    <w:rPr>
      <w:rFonts w:ascii="宋体" w:hAnsi="宋体"/>
      <w:b/>
      <w:sz w:val="30"/>
      <w:szCs w:val="30"/>
      <w:lang w:eastAsia="en-US"/>
    </w:rPr>
  </w:style>
  <w:style w:type="paragraph" w:styleId="1212">
    <w:name w:val="Char Char1 Char Char Char Char Char Char1"/>
    <w:basedOn w:val="982"/>
    <w:next w:val="1212"/>
    <w:link w:val="982"/>
    <w:qFormat/>
    <w:pPr>
      <w:jc w:val="left"/>
      <w:spacing w:after="160" w:line="240" w:lineRule="exact"/>
      <w:widowControl/>
    </w:pPr>
    <w:rPr>
      <w:rFonts w:ascii="Verdana" w:hAnsi="Verdana" w:eastAsia="仿宋_GB2312"/>
      <w:sz w:val="24"/>
      <w:szCs w:val="20"/>
      <w:lang w:eastAsia="en-US"/>
    </w:rPr>
  </w:style>
  <w:style w:type="paragraph" w:styleId="1213">
    <w:name w:val="列出段落2"/>
    <w:basedOn w:val="982"/>
    <w:next w:val="1213"/>
    <w:link w:val="982"/>
    <w:qFormat/>
    <w:pPr>
      <w:ind w:firstLine="420"/>
    </w:pPr>
    <w:rPr>
      <w:rFonts w:ascii="Calibri" w:hAnsi="Calibri"/>
      <w:szCs w:val="22"/>
    </w:rPr>
  </w:style>
  <w:style w:type="paragraph" w:styleId="1214">
    <w:name w:val="Char Char Char1 Char2"/>
    <w:basedOn w:val="982"/>
    <w:next w:val="1214"/>
    <w:link w:val="982"/>
    <w:qFormat/>
    <w:rPr>
      <w:rFonts w:ascii="Tahoma" w:hAnsi="Tahoma"/>
      <w:sz w:val="24"/>
      <w:szCs w:val="20"/>
    </w:rPr>
  </w:style>
  <w:style w:type="paragraph" w:styleId="1215">
    <w:name w:val="Char Char Char2"/>
    <w:basedOn w:val="982"/>
    <w:next w:val="1215"/>
    <w:link w:val="982"/>
    <w:qFormat/>
    <w:rPr>
      <w:rFonts w:ascii="Tahoma" w:hAnsi="Tahoma"/>
      <w:sz w:val="24"/>
      <w:szCs w:val="20"/>
    </w:rPr>
  </w:style>
  <w:style w:type="paragraph" w:styleId="1216">
    <w:name w:val="Char Char Char Char Char Char Char2"/>
    <w:basedOn w:val="982"/>
    <w:next w:val="1216"/>
    <w:link w:val="982"/>
    <w:qFormat/>
    <w:pPr>
      <w:ind w:firstLine="200"/>
      <w:spacing w:line="360" w:lineRule="auto"/>
    </w:pPr>
    <w:rPr>
      <w:rFonts w:eastAsia="仿宋_GB2312"/>
      <w:sz w:val="24"/>
    </w:rPr>
  </w:style>
  <w:style w:type="paragraph" w:styleId="1217">
    <w:name w:val="正文缩进2"/>
    <w:basedOn w:val="982"/>
    <w:next w:val="1217"/>
    <w:link w:val="982"/>
    <w:qFormat/>
    <w:pPr>
      <w:ind w:firstLine="567"/>
      <w:spacing w:line="480" w:lineRule="exact"/>
      <w:widowControl/>
    </w:pPr>
    <w:rPr>
      <w:rFonts w:ascii="宋体"/>
      <w:color w:val="000000"/>
      <w:sz w:val="28"/>
      <w:szCs w:val="20"/>
      <w:lang w:val="zh-CN" w:eastAsia="zh-CN"/>
    </w:rPr>
  </w:style>
  <w:style w:type="paragraph" w:styleId="1218">
    <w:name w:val="Revision"/>
    <w:next w:val="1218"/>
    <w:link w:val="982"/>
    <w:qFormat/>
    <w:rPr>
      <w:sz w:val="21"/>
      <w:szCs w:val="24"/>
      <w:lang w:val="en-US" w:eastAsia="zh-CN" w:bidi="ar-SA"/>
    </w:rPr>
  </w:style>
  <w:style w:type="paragraph" w:styleId="1219">
    <w:name w:val="Char22"/>
    <w:basedOn w:val="982"/>
    <w:next w:val="1219"/>
    <w:link w:val="982"/>
    <w:qFormat/>
    <w:rPr>
      <w:rFonts w:ascii="Tahoma" w:hAnsi="Tahoma"/>
      <w:sz w:val="24"/>
      <w:szCs w:val="20"/>
    </w:rPr>
  </w:style>
  <w:style w:type="paragraph" w:styleId="1220">
    <w:name w:val="Char Char Char Char Char Char Char Char Char Char2"/>
    <w:basedOn w:val="982"/>
    <w:next w:val="1220"/>
    <w:link w:val="982"/>
    <w:qFormat/>
    <w:rPr>
      <w:rFonts w:ascii="宋体" w:hAnsi="宋体" w:cs="Courier New"/>
      <w:sz w:val="32"/>
      <w:szCs w:val="32"/>
    </w:rPr>
  </w:style>
  <w:style w:type="paragraph" w:styleId="1221">
    <w:name w:val="Char2 Char Char Char Char Char Char1"/>
    <w:basedOn w:val="982"/>
    <w:next w:val="1221"/>
    <w:link w:val="982"/>
    <w:qFormat/>
    <w:pPr>
      <w:jc w:val="center"/>
      <w:spacing w:line="400" w:lineRule="exact"/>
      <w:widowControl/>
    </w:pPr>
  </w:style>
  <w:style w:type="character" w:styleId="1222">
    <w:name w:val="页脚 Char"/>
    <w:next w:val="1222"/>
    <w:link w:val="982"/>
    <w:qFormat/>
    <w:rPr>
      <w:rFonts w:ascii="宋体" w:eastAsia="宋体"/>
      <w:sz w:val="18"/>
      <w:lang w:val="en-US" w:eastAsia="zh-CN" w:bidi="ar-SA"/>
    </w:rPr>
  </w:style>
  <w:style w:type="paragraph" w:styleId="1223">
    <w:name w:val="Char Char41"/>
    <w:basedOn w:val="982"/>
    <w:next w:val="1223"/>
    <w:link w:val="982"/>
    <w:qFormat/>
    <w:pPr>
      <w:jc w:val="center"/>
      <w:spacing w:line="400" w:lineRule="exact"/>
      <w:widowControl/>
    </w:pPr>
  </w:style>
  <w:style w:type="character" w:styleId="1224">
    <w:name w:val="批注文字 Char"/>
    <w:next w:val="1224"/>
    <w:link w:val="982"/>
    <w:uiPriority w:val="99"/>
    <w:qFormat/>
    <w:rPr>
      <w:sz w:val="21"/>
      <w:szCs w:val="24"/>
    </w:rPr>
  </w:style>
  <w:style w:type="character" w:styleId="1225">
    <w:name w:val="标题 Char"/>
    <w:next w:val="1225"/>
    <w:link w:val="982"/>
    <w:qFormat/>
    <w:rPr>
      <w:b/>
      <w:sz w:val="32"/>
    </w:rPr>
  </w:style>
  <w:style w:type="paragraph" w:styleId="1226">
    <w:name w:val="图例"/>
    <w:basedOn w:val="982"/>
    <w:next w:val="1226"/>
    <w:link w:val="982"/>
    <w:qFormat/>
    <w:pPr>
      <w:jc w:val="center"/>
      <w:spacing w:before="120" w:after="120" w:line="360" w:lineRule="auto"/>
    </w:pPr>
    <w:rPr>
      <w:rFonts w:eastAsia="仿宋_GB2312"/>
      <w:b/>
      <w:sz w:val="24"/>
      <w:szCs w:val="20"/>
    </w:rPr>
  </w:style>
  <w:style w:type="paragraph" w:styleId="1227">
    <w:name w:val="Table Paragraph"/>
    <w:basedOn w:val="982"/>
    <w:next w:val="1227"/>
    <w:link w:val="982"/>
    <w:uiPriority w:val="1"/>
    <w:qFormat/>
    <w:pPr>
      <w:jc w:val="left"/>
    </w:pPr>
    <w:rPr>
      <w:rFonts w:ascii="宋体" w:hAnsi="宋体" w:cs="宋体"/>
      <w:sz w:val="22"/>
      <w:szCs w:val="22"/>
      <w:lang w:eastAsia="en-US"/>
    </w:rPr>
  </w:style>
  <w:style w:type="table" w:styleId="1228">
    <w:name w:val="Table Normal"/>
    <w:next w:val="1228"/>
    <w:link w:val="982"/>
    <w:uiPriority w:val="2"/>
    <w:semiHidden/>
    <w:qFormat/>
    <w:pPr>
      <w:widowControl w:val="off"/>
    </w:pPr>
    <w:rPr>
      <w:rFonts w:ascii="Calibri" w:hAnsi="Calibri"/>
      <w:sz w:val="22"/>
      <w:szCs w:val="22"/>
      <w:lang w:val="en-US" w:eastAsia="en-US" w:bidi="ar-SA"/>
    </w:rPr>
    <w:tblPr/>
  </w:style>
  <w:style w:type="paragraph" w:styleId="1229">
    <w:name w:val="成文日期"/>
    <w:basedOn w:val="982"/>
    <w:next w:val="1229"/>
    <w:link w:val="1230"/>
    <w:qFormat/>
    <w:pPr>
      <w:ind w:right="400" w:firstLine="200"/>
      <w:jc w:val="right"/>
      <w:spacing w:line="570" w:lineRule="exact"/>
    </w:pPr>
    <w:rPr>
      <w:rFonts w:ascii="仿宋_GB2312" w:eastAsia="仿宋_GB2312"/>
      <w:sz w:val="32"/>
      <w:szCs w:val="20"/>
    </w:rPr>
  </w:style>
  <w:style w:type="character" w:styleId="1230">
    <w:name w:val="成文日期 Char"/>
    <w:next w:val="1230"/>
    <w:link w:val="1229"/>
    <w:qFormat/>
    <w:rPr>
      <w:rFonts w:ascii="仿宋_GB2312" w:eastAsia="仿宋_GB2312"/>
      <w:sz w:val="32"/>
    </w:rPr>
  </w:style>
  <w:style w:type="paragraph" w:styleId="1231">
    <w:name w:val="reader-word-layer reader-word-s2-3"/>
    <w:basedOn w:val="982"/>
    <w:next w:val="1231"/>
    <w:link w:val="982"/>
    <w:pPr>
      <w:jc w:val="left"/>
      <w:spacing w:before="100" w:beforeAutospacing="1" w:after="100" w:afterAutospacing="1"/>
      <w:widowControl/>
    </w:pPr>
    <w:rPr>
      <w:rFonts w:ascii="宋体" w:hAnsi="宋体" w:cs="宋体"/>
      <w:sz w:val="24"/>
    </w:rPr>
  </w:style>
  <w:style w:type="paragraph" w:styleId="1232">
    <w:name w:val="修订1"/>
    <w:next w:val="1232"/>
    <w:link w:val="982"/>
    <w:qFormat/>
    <w:rPr>
      <w:sz w:val="21"/>
      <w:szCs w:val="24"/>
      <w:lang w:val="en-US" w:eastAsia="zh-CN" w:bidi="ar-SA"/>
    </w:rPr>
  </w:style>
  <w:style w:type="character" w:styleId="1233">
    <w:name w:val="批注主题 Char1"/>
    <w:next w:val="1233"/>
    <w:link w:val="982"/>
    <w:qFormat/>
    <w:rPr>
      <w:rFonts w:ascii="Calibri" w:hAnsi="Calibri"/>
      <w:b/>
      <w:bCs/>
      <w:sz w:val="21"/>
      <w:szCs w:val="24"/>
    </w:rPr>
  </w:style>
  <w:style w:type="paragraph" w:styleId="1234">
    <w:name w:val="纯文本1"/>
    <w:basedOn w:val="982"/>
    <w:next w:val="1234"/>
    <w:link w:val="982"/>
    <w:qFormat/>
    <w:rPr>
      <w:rFonts w:ascii="宋体" w:hAnsi="Courier New" w:eastAsia="楷体_GB2312"/>
      <w:sz w:val="26"/>
    </w:rPr>
  </w:style>
  <w:style w:type="paragraph" w:styleId="1235">
    <w:name w:val="修订2"/>
    <w:next w:val="1235"/>
    <w:link w:val="982"/>
    <w:uiPriority w:val="99"/>
    <w:unhideWhenUsed/>
    <w:qFormat/>
    <w:rPr>
      <w:sz w:val="21"/>
      <w:szCs w:val="24"/>
      <w:lang w:val="en-US" w:eastAsia="zh-CN" w:bidi="ar-SA"/>
    </w:rPr>
  </w:style>
  <w:style w:type="paragraph" w:styleId="1236">
    <w:name w:val="*正文"/>
    <w:basedOn w:val="982"/>
    <w:next w:val="1236"/>
    <w:link w:val="1237"/>
    <w:uiPriority w:val="99"/>
    <w:qFormat/>
    <w:pPr>
      <w:ind w:firstLine="200"/>
      <w:jc w:val="left"/>
      <w:spacing w:line="360" w:lineRule="auto"/>
    </w:pPr>
    <w:rPr>
      <w:rFonts w:ascii="宋体" w:hAnsi="Calibri"/>
      <w:sz w:val="24"/>
      <w:szCs w:val="20"/>
      <w:lang w:eastAsia="en-US"/>
    </w:rPr>
  </w:style>
  <w:style w:type="character" w:styleId="1237">
    <w:name w:val="*正文 Char"/>
    <w:next w:val="1237"/>
    <w:link w:val="1236"/>
    <w:uiPriority w:val="99"/>
    <w:qFormat/>
    <w:rPr>
      <w:rFonts w:ascii="宋体" w:hAnsi="Calibri"/>
      <w:sz w:val="24"/>
      <w:lang w:eastAsia="en-US"/>
    </w:rPr>
  </w:style>
  <w:style w:type="paragraph" w:styleId="1238">
    <w:name w:val="xl159"/>
    <w:basedOn w:val="982"/>
    <w:next w:val="1238"/>
    <w:link w:val="982"/>
    <w:pPr>
      <w:jc w:val="center"/>
      <w:spacing w:before="100" w:beforeAutospacing="1" w:after="100" w:afterAutospacing="1"/>
      <w:widowControl/>
    </w:pPr>
    <w:rPr>
      <w:rFonts w:ascii="宋体" w:hAnsi="宋体" w:cs="宋体"/>
      <w:sz w:val="24"/>
    </w:rPr>
  </w:style>
  <w:style w:type="paragraph" w:styleId="1239">
    <w:name w:val="xl160"/>
    <w:basedOn w:val="982"/>
    <w:next w:val="1239"/>
    <w:link w:val="982"/>
    <w:pPr>
      <w:jc w:val="center"/>
      <w:spacing w:before="100" w:beforeAutospacing="1" w:after="100" w:afterAutospacing="1"/>
      <w:shd w:val="clear" w:color="000000" w:fill="ffffff"/>
      <w:widowControl/>
    </w:pPr>
    <w:rPr>
      <w:rFonts w:ascii="宋体" w:hAnsi="宋体" w:cs="宋体"/>
      <w:sz w:val="24"/>
    </w:rPr>
  </w:style>
  <w:style w:type="paragraph" w:styleId="1240">
    <w:name w:val="xl161"/>
    <w:basedOn w:val="982"/>
    <w:next w:val="1240"/>
    <w:link w:val="982"/>
    <w:pPr>
      <w:jc w:val="left"/>
      <w:spacing w:before="100" w:beforeAutospacing="1" w:after="100" w:afterAutospacing="1"/>
      <w:widowControl/>
    </w:pPr>
    <w:rPr>
      <w:rFonts w:ascii="仿宋_GB2312" w:hAnsi="宋体" w:eastAsia="仿宋_GB2312" w:cs="宋体"/>
      <w:sz w:val="24"/>
    </w:rPr>
  </w:style>
  <w:style w:type="paragraph" w:styleId="1241">
    <w:name w:val="xl162"/>
    <w:basedOn w:val="982"/>
    <w:next w:val="1241"/>
    <w:link w:val="982"/>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242">
    <w:name w:val="xl163"/>
    <w:basedOn w:val="982"/>
    <w:next w:val="1242"/>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43">
    <w:name w:val="xl164"/>
    <w:basedOn w:val="982"/>
    <w:next w:val="1243"/>
    <w:link w:val="982"/>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44">
    <w:name w:val="xl165"/>
    <w:basedOn w:val="982"/>
    <w:next w:val="1244"/>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5">
    <w:name w:val="xl166"/>
    <w:basedOn w:val="982"/>
    <w:next w:val="1245"/>
    <w:link w:val="98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46">
    <w:name w:val="xl167"/>
    <w:basedOn w:val="982"/>
    <w:next w:val="1246"/>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247">
    <w:name w:val="xl168"/>
    <w:basedOn w:val="982"/>
    <w:next w:val="1247"/>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8">
    <w:name w:val="xl169"/>
    <w:basedOn w:val="982"/>
    <w:next w:val="1248"/>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49">
    <w:name w:val="xl170"/>
    <w:basedOn w:val="982"/>
    <w:next w:val="1249"/>
    <w:link w:val="982"/>
    <w:pPr>
      <w:jc w:val="center"/>
      <w:spacing w:before="100" w:beforeAutospacing="1" w:after="100" w:afterAutospacing="1"/>
      <w:widowControl/>
    </w:pPr>
    <w:rPr>
      <w:rFonts w:ascii="仿宋_GB2312" w:hAnsi="宋体" w:eastAsia="仿宋_GB2312" w:cs="宋体"/>
      <w:b/>
      <w:bCs/>
      <w:sz w:val="20"/>
      <w:szCs w:val="20"/>
    </w:rPr>
  </w:style>
  <w:style w:type="paragraph" w:styleId="1250">
    <w:name w:val="xl171"/>
    <w:basedOn w:val="982"/>
    <w:next w:val="1250"/>
    <w:link w:val="982"/>
    <w:pPr>
      <w:jc w:val="center"/>
      <w:spacing w:before="100" w:beforeAutospacing="1" w:after="100" w:afterAutospacing="1"/>
      <w:widowControl/>
    </w:pPr>
    <w:rPr>
      <w:rFonts w:ascii="仿宋_GB2312" w:hAnsi="宋体" w:eastAsia="仿宋_GB2312" w:cs="宋体"/>
      <w:sz w:val="20"/>
      <w:szCs w:val="20"/>
    </w:rPr>
  </w:style>
  <w:style w:type="paragraph" w:styleId="1251">
    <w:name w:val="xl172"/>
    <w:basedOn w:val="982"/>
    <w:next w:val="1251"/>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52">
    <w:name w:val="xl173"/>
    <w:basedOn w:val="982"/>
    <w:next w:val="1252"/>
    <w:link w:val="982"/>
    <w:pPr>
      <w:jc w:val="center"/>
      <w:spacing w:before="100" w:beforeAutospacing="1" w:after="100" w:afterAutospacing="1"/>
      <w:widowControl/>
    </w:pPr>
    <w:rPr>
      <w:rFonts w:ascii="宋体" w:hAnsi="宋体" w:cs="宋体"/>
      <w:sz w:val="20"/>
      <w:szCs w:val="20"/>
    </w:rPr>
  </w:style>
  <w:style w:type="paragraph" w:styleId="1253">
    <w:name w:val="xl174"/>
    <w:basedOn w:val="982"/>
    <w:next w:val="1253"/>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4">
    <w:name w:val="xl175"/>
    <w:basedOn w:val="982"/>
    <w:next w:val="1254"/>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5">
    <w:name w:val="xl176"/>
    <w:basedOn w:val="982"/>
    <w:next w:val="1255"/>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6">
    <w:name w:val="xl177"/>
    <w:basedOn w:val="982"/>
    <w:next w:val="1256"/>
    <w:link w:val="982"/>
    <w:pPr>
      <w:jc w:val="center"/>
      <w:spacing w:before="100" w:beforeAutospacing="1" w:after="100" w:afterAutospacing="1"/>
      <w:widowControl/>
    </w:pPr>
    <w:rPr>
      <w:rFonts w:ascii="仿宋_GB2312" w:hAnsi="宋体" w:eastAsia="仿宋_GB2312" w:cs="宋体"/>
      <w:b/>
      <w:bCs/>
      <w:sz w:val="24"/>
    </w:rPr>
  </w:style>
  <w:style w:type="paragraph" w:styleId="1257">
    <w:name w:val="xl178"/>
    <w:basedOn w:val="982"/>
    <w:next w:val="1257"/>
    <w:link w:val="982"/>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58">
    <w:name w:val="xl179"/>
    <w:basedOn w:val="982"/>
    <w:next w:val="1258"/>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59">
    <w:name w:val="xl180"/>
    <w:basedOn w:val="982"/>
    <w:next w:val="1259"/>
    <w:link w:val="982"/>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60">
    <w:name w:val="xl181"/>
    <w:basedOn w:val="982"/>
    <w:next w:val="1260"/>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61">
    <w:name w:val="xl182"/>
    <w:basedOn w:val="982"/>
    <w:next w:val="1261"/>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62">
    <w:name w:val="样式 标题 2 + Times New Roman 四号 非加粗 段前: 5 磅 段后: 0 磅 行距: 固定值 20..."/>
    <w:basedOn w:val="984"/>
    <w:next w:val="1262"/>
    <w:link w:val="982"/>
    <w:qFormat/>
    <w:pPr>
      <w:jc w:val="both"/>
      <w:spacing w:before="100" w:line="400" w:lineRule="exact"/>
    </w:pPr>
    <w:rPr>
      <w:rFonts w:ascii="Times New Roman" w:hAnsi="Times New Roman"/>
      <w:b w:val="0"/>
      <w:sz w:val="28"/>
    </w:rPr>
  </w:style>
  <w:style w:type="paragraph" w:styleId="1263">
    <w:name w:val="CM92"/>
    <w:basedOn w:val="1160"/>
    <w:next w:val="1160"/>
    <w:link w:val="982"/>
    <w:qFormat/>
    <w:pPr>
      <w:spacing w:after="530"/>
    </w:pPr>
    <w:rPr>
      <w:rFonts w:ascii="宋体" w:hAnsi="Times New Roman" w:cs="宋体"/>
      <w:color w:val="000000"/>
    </w:rPr>
  </w:style>
  <w:style w:type="paragraph" w:styleId="1264">
    <w:name w:val="样式 标题 3 + (中文) 黑体 小四 非加粗 段前: 7.8 磅 段后: 0 磅 行距: 固定值 20 磅"/>
    <w:basedOn w:val="985"/>
    <w:next w:val="1264"/>
    <w:link w:val="982"/>
    <w:qFormat/>
    <w:pPr>
      <w:jc w:val="both"/>
      <w:spacing w:before="0" w:after="0" w:line="400" w:lineRule="exact"/>
    </w:pPr>
    <w:rPr>
      <w:rFonts w:eastAsia="黑体" w:cs="宋体"/>
      <w:b w:val="0"/>
      <w:color w:val="ff0000"/>
      <w:u w:val="none"/>
    </w:rPr>
  </w:style>
  <w:style w:type="character" w:styleId="1265">
    <w:name w:val="font11"/>
    <w:basedOn w:val="992"/>
    <w:next w:val="1265"/>
    <w:link w:val="982"/>
    <w:rPr>
      <w:rFonts w:hint="eastAsia" w:ascii="宋体" w:hAnsi="宋体" w:eastAsia="宋体" w:cs="宋体"/>
      <w:i w:val="0"/>
      <w:iCs w:val="0"/>
      <w:color w:val="000000"/>
      <w:sz w:val="20"/>
      <w:szCs w:val="20"/>
      <w:u w:val="none"/>
    </w:rPr>
  </w:style>
  <w:style w:type="character" w:styleId="1266">
    <w:name w:val="font31"/>
    <w:basedOn w:val="992"/>
    <w:next w:val="1266"/>
    <w:link w:val="982"/>
    <w:rPr>
      <w:rFonts w:ascii="Times New Roman" w:hAnsi="Times New Roman" w:cs="Times New Roman"/>
      <w:i w:val="0"/>
      <w:iCs w:val="0"/>
      <w:color w:val="000000"/>
      <w:sz w:val="20"/>
      <w:szCs w:val="20"/>
      <w:u w:val="none"/>
    </w:rPr>
  </w:style>
  <w:style w:type="character" w:styleId="1267" w:default="1">
    <w:name w:val="Default Paragraph Font"/>
    <w:uiPriority w:val="1"/>
    <w:semiHidden/>
    <w:unhideWhenUsed/>
  </w:style>
  <w:style w:type="numbering" w:styleId="1268" w:default="1">
    <w:name w:val="No List"/>
    <w:uiPriority w:val="99"/>
    <w:semiHidden/>
    <w:unhideWhenUsed/>
  </w:style>
  <w:style w:type="table" w:styleId="12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13</cp:revision>
  <dcterms:created xsi:type="dcterms:W3CDTF">2022-05-30T08:03:00Z</dcterms:created>
  <dcterms:modified xsi:type="dcterms:W3CDTF">2025-12-09T07:48:16Z</dcterms:modified>
</cp:coreProperties>
</file>